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pStyle w:val="Heading1"/>
        <w:numPr>
          <w:ilvl w:val="0"/>
          <w:numId w:val="12"/>
        </w:numPr>
        <w:tabs>
          <w:tab w:val="left" w:leader="none" w:pos="467"/>
        </w:tabs>
        <w:ind w:left="0" w:hanging="367"/>
        <w:rPr/>
      </w:pPr>
      <w:bookmarkStart w:colFirst="0" w:colLast="0" w:name="_heading=h.gjdgxs" w:id="0"/>
      <w:bookmarkEnd w:id="0"/>
      <w:r w:rsidDel="00000000" w:rsidR="00000000" w:rsidRPr="00000000">
        <w:rPr>
          <w:rtl w:val="0"/>
        </w:rPr>
        <w:t xml:space="preserve">Rule Language</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820"/>
        </w:tabs>
        <w:spacing w:after="0" w:before="0" w:line="240" w:lineRule="auto"/>
        <w:ind w:left="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Pursuant to OAR 137-001-0070(1)(c), asserted propositions of law:</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40 CFR 131.12(a)(3) - Antidegradation Policy:</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“Where high quality waters constitute an outstanding National resource, such as waters of National and State parks and wildlife refuges and waters of exceptional recreational or ecological significance, that water quality shall be maintained and protected.”</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OAR 340-013-0005 - Wilderness, Recreational, and Scenic Area Rules - Environmental Standards for Wilderness Areas:</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“Therefore, it is declared to be the policy and purpose of the Department of Environmental Quality to maintain the environment of wilderness areas essentially in a pristine state and as free from air, water, and noise pollution as is practically possible and to permit its alteration only in a manner compatible with recreational use and the enjoyment of the scenic beauty and splendor of these lands by the citizens of Oregon and of the United States.”</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OAR 340-041-0002(44) – Definition:</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“‘Outstanding Resource Waters’ means waters designated by the EQC where existing high quality waters constitute an outstanding state or national resource based on their extraordinary water quality or ecological values or where special water quality protection is needed to maintain critical habitat areas.”</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4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OAR 340-041-0004(1) – Antidegradation Purpose:</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purpose of the Antidegradation Policy is to guide decisions that affect water quality such that unnecessary further degradation from new or increased point and nonpoint sources of pollution is prevented, and to protect, maintain, and enhance existing surface water quality to ensure the full protection of all existing beneficial uses. The standards and policies set forth in OAR 340-041-0007 through 340-041-0350 are intended to supplement the Antidegradation Policy.”</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OAR 340-041-0004(6) - High Quality Waters Policy:</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“Where the existing water quality meets or exceeds those levels necessary to support propagation of fish, shellfish, and wildlife and recreation in and on the water, and other designated beneficial uses, that level of water quality must be maintained and protected.”</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OAR 340-041-0004(8) - Outstanding Resource Waters Policy: “Where existing high quality waters constitute an outstanding State or national resource such as those waters designated as extraordinary resource waters, or as critical habitat areas, the existing water quality and water quality values must be maintained and protected, and classified as "Outstanding Resource Waters of Oregon”.”</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OAR 340-041-0004(8)(a)(B, E) - Outstanding Resource Waters:</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The Commission may specially designate high quality water bodies to be classified as Outstanding Resource Waters in order to protect the water quality parameters that affect ecological integrity of critical habitat or special water quality values that are vital to the unique character of those water bodies. The Department will develop a screening process and establish a list of nominated water bodies for Outstanding Resource Waters designation in the Biennial Water Quality Status Assessment Report (305(b) Report).</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ORS 468B.015(5) – Water Quality, Public Health and Safety, Water Pollution Control – Policy:</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 cooperate with other agencies of the state, agencies of other states and the federal government in carrying out these objectives.</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[Formerly 449.077 and then 468.710; 2009 c.248 §1]”</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pStyle w:val="Heading1"/>
        <w:numPr>
          <w:ilvl w:val="0"/>
          <w:numId w:val="11"/>
        </w:numPr>
        <w:tabs>
          <w:tab w:val="left" w:leader="none" w:pos="820"/>
        </w:tabs>
        <w:ind w:left="0" w:hanging="360"/>
        <w:rPr/>
      </w:pPr>
      <w:bookmarkStart w:colFirst="0" w:colLast="0" w:name="_heading=h.30j0zll" w:id="1"/>
      <w:bookmarkEnd w:id="1"/>
      <w:r w:rsidDel="00000000" w:rsidR="00000000" w:rsidRPr="00000000">
        <w:rPr>
          <w:rtl w:val="0"/>
        </w:rPr>
        <w:t xml:space="preserve">As per OAR 137-001-0070(2), petitioner requests amendments to existing rules:</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Petition requests that the Commission add rule language to OAR 340-041-0004 and OAR 340- 041-0345 and does not propose to revise or delete any current rule language. The Petition does not dispute the continued need for the existing rules. Rather, the proposed rule additions seek to implement the existing rules by designating “Outstanding Resource Waters of Oregon”. The existing rule allowing designation of waters as ORWs fulfills state responsibilities under the Federal Clean Water Act and is consistent with federal regulations.</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pStyle w:val="Heading1"/>
        <w:numPr>
          <w:ilvl w:val="0"/>
          <w:numId w:val="11"/>
        </w:numPr>
        <w:tabs>
          <w:tab w:val="left" w:leader="none" w:pos="820"/>
        </w:tabs>
        <w:ind w:left="0" w:hanging="360"/>
        <w:rPr/>
      </w:pPr>
      <w:bookmarkStart w:colFirst="0" w:colLast="0" w:name="_heading=h.1fob9te" w:id="2"/>
      <w:bookmarkEnd w:id="2"/>
      <w:r w:rsidDel="00000000" w:rsidR="00000000" w:rsidRPr="00000000">
        <w:rPr>
          <w:rtl w:val="0"/>
        </w:rPr>
        <w:t xml:space="preserve">As per OAR 137-001-0070(2)(a), options to reduce negative economic impact on business:</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economy of Jefferson County is in part based on maintaining the current high-water quality of the Metolius River. This is discussed above relative to the recreational activities. Therefore, adopting this Petition will provide positive economic impacts.</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pStyle w:val="Heading1"/>
        <w:numPr>
          <w:ilvl w:val="0"/>
          <w:numId w:val="11"/>
        </w:numPr>
        <w:tabs>
          <w:tab w:val="left" w:leader="none" w:pos="820"/>
        </w:tabs>
        <w:ind w:left="0" w:hanging="360"/>
        <w:rPr/>
      </w:pPr>
      <w:bookmarkStart w:colFirst="0" w:colLast="0" w:name="_heading=h.3znysh7" w:id="3"/>
      <w:bookmarkEnd w:id="3"/>
      <w:r w:rsidDel="00000000" w:rsidR="00000000" w:rsidRPr="00000000">
        <w:rPr>
          <w:rtl w:val="0"/>
        </w:rPr>
        <w:t xml:space="preserve">As per OAR 137-001-0070(2)(b), continued need for the existing rules:</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existing rules are based on the Federal Clean Water Act. An August 8, 2013 US EPA letter and document to the Oregon DEQ regarding the Federal Antidegradation Policy gave a favorable opinion of the existing rules.</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pStyle w:val="Heading1"/>
        <w:numPr>
          <w:ilvl w:val="0"/>
          <w:numId w:val="11"/>
        </w:numPr>
        <w:tabs>
          <w:tab w:val="left" w:leader="none" w:pos="820"/>
        </w:tabs>
        <w:ind w:left="0" w:hanging="360"/>
        <w:rPr/>
      </w:pPr>
      <w:bookmarkStart w:colFirst="0" w:colLast="0" w:name="_heading=h.2et92p0" w:id="4"/>
      <w:bookmarkEnd w:id="4"/>
      <w:r w:rsidDel="00000000" w:rsidR="00000000" w:rsidRPr="00000000">
        <w:rPr>
          <w:rtl w:val="0"/>
        </w:rPr>
        <w:t xml:space="preserve">As per OAR 137-001-0070(2)(c), complexity of the existing rules: The existing rules are not overly complex and similar rule versions have been successfully implemented in many states. For example, the North Fork Smith River and associated tributaries were successfully designated as an ORW.</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pStyle w:val="Heading1"/>
        <w:numPr>
          <w:ilvl w:val="0"/>
          <w:numId w:val="11"/>
        </w:numPr>
        <w:tabs>
          <w:tab w:val="left" w:leader="none" w:pos="819"/>
          <w:tab w:val="left" w:leader="none" w:pos="820"/>
        </w:tabs>
        <w:ind w:left="0" w:hanging="360"/>
        <w:rPr/>
      </w:pPr>
      <w:bookmarkStart w:colFirst="0" w:colLast="0" w:name="_heading=h.tyjcwt" w:id="5"/>
      <w:bookmarkEnd w:id="5"/>
      <w:r w:rsidDel="00000000" w:rsidR="00000000" w:rsidRPr="00000000">
        <w:rPr>
          <w:rtl w:val="0"/>
        </w:rPr>
        <w:t xml:space="preserve">As per OAR 137-001-0070(2)(d), extent to which the existing rules overlap, duplicate, or conflict with other state or federal rules and with local government regulations:</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Metolius river is surrounded by Deschutes National Forest. An ORW designation would be compatible with the National Forest objectives.</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pStyle w:val="Heading1"/>
        <w:numPr>
          <w:ilvl w:val="0"/>
          <w:numId w:val="11"/>
        </w:numPr>
        <w:tabs>
          <w:tab w:val="left" w:leader="none" w:pos="820"/>
        </w:tabs>
        <w:ind w:left="0" w:hanging="360"/>
        <w:rPr/>
      </w:pPr>
      <w:bookmarkStart w:colFirst="0" w:colLast="0" w:name="_heading=h.3dy6vkm" w:id="6"/>
      <w:bookmarkEnd w:id="6"/>
      <w:r w:rsidDel="00000000" w:rsidR="00000000" w:rsidRPr="00000000">
        <w:rPr>
          <w:rtl w:val="0"/>
        </w:rPr>
        <w:t xml:space="preserve">As per OAR 137-001-0070(2)(e), degree to which technology, economic conditions, and other factors have changed in the subject area:</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Development and economic conditions in the Metolius river basin area as discussed above. The natural conditions of the watershed support the local economies. The numerous protection plans that overlay the Metolius river ….. An ORW designation fits these purposes.</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br w:type="page"/>
      </w:r>
      <w:r w:rsidDel="00000000" w:rsidR="00000000" w:rsidRPr="00000000">
        <w:rPr>
          <w:rtl w:val="0"/>
        </w:rPr>
      </w:r>
    </w:p>
    <w:p w:rsidR="00000000" w:rsidDel="00000000" w:rsidP="00000000" w:rsidRDefault="00000000" w:rsidRPr="00000000" w14:paraId="0000003E">
      <w:pPr>
        <w:rPr>
          <w:b w:val="1"/>
          <w:sz w:val="24"/>
          <w:szCs w:val="24"/>
        </w:rPr>
      </w:pPr>
      <w:r w:rsidDel="00000000" w:rsidR="00000000" w:rsidRPr="00000000">
        <w:rPr>
          <w:rtl w:val="0"/>
        </w:rPr>
      </w:r>
    </w:p>
    <w:p w:rsidR="00000000" w:rsidDel="00000000" w:rsidP="00000000" w:rsidRDefault="00000000" w:rsidRPr="00000000" w14:paraId="0000003F">
      <w:pPr>
        <w:pStyle w:val="Heading1"/>
        <w:tabs>
          <w:tab w:val="left" w:leader="none" w:pos="310"/>
        </w:tabs>
        <w:ind w:left="720" w:hanging="720"/>
        <w:rPr/>
      </w:pPr>
      <w:bookmarkStart w:colFirst="0" w:colLast="0" w:name="_heading=h.1t3h5sf" w:id="7"/>
      <w:bookmarkEnd w:id="7"/>
      <w:r w:rsidDel="00000000" w:rsidR="00000000" w:rsidRPr="00000000">
        <w:rPr>
          <w:rtl w:val="0"/>
        </w:rPr>
        <w:t xml:space="preserve">1.</w:t>
        <w:tab/>
        <w:tab/>
        <w:t xml:space="preserve">Pursuant to OAR 137-001-0070(1)(a): Proposed Rule Amendment Language to be Adopted</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pStyle w:val="Heading1"/>
        <w:ind w:left="0" w:firstLine="0"/>
        <w:rPr>
          <w:b w:val="0"/>
        </w:rPr>
      </w:pPr>
      <w:bookmarkStart w:colFirst="0" w:colLast="0" w:name="_heading=h.4d34og8" w:id="8"/>
      <w:bookmarkEnd w:id="8"/>
      <w:r w:rsidDel="00000000" w:rsidR="00000000" w:rsidRPr="00000000">
        <w:rPr>
          <w:rtl w:val="0"/>
        </w:rPr>
        <w:t xml:space="preserve">As per OAR 137-001-0070(1)(a), proposed rule amendment language to be adopted</w:t>
      </w:r>
      <w:r w:rsidDel="00000000" w:rsidR="00000000" w:rsidRPr="00000000">
        <w:rPr>
          <w:b w:val="0"/>
          <w:rtl w:val="0"/>
        </w:rPr>
        <w:t xml:space="preserve">:</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complete proposed rule language with the suggested </w:t>
      </w:r>
      <w:r w:rsidDel="00000000" w:rsidR="00000000" w:rsidRPr="00000000">
        <w:rPr>
          <w:rFonts w:ascii="Times New Roman" w:cs="Times New Roman" w:eastAsia="Times New Roman" w:hAnsi="Times New Roman"/>
          <w:b w:val="1"/>
          <w:i w:val="0"/>
          <w:smallCaps w:val="0"/>
          <w:strike w:val="0"/>
          <w:color w:val="c0504d"/>
          <w:sz w:val="24"/>
          <w:szCs w:val="24"/>
          <w:u w:val="none"/>
          <w:shd w:fill="auto" w:val="clear"/>
          <w:vertAlign w:val="baseline"/>
          <w:rtl w:val="0"/>
        </w:rPr>
        <w:t xml:space="preserve">additions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 the existing Antidegradation rule OAR 340-041-0004, and the suggested </w:t>
      </w:r>
      <w:r w:rsidDel="00000000" w:rsidR="00000000" w:rsidRPr="00000000">
        <w:rPr>
          <w:rFonts w:ascii="Times New Roman" w:cs="Times New Roman" w:eastAsia="Times New Roman" w:hAnsi="Times New Roman"/>
          <w:b w:val="1"/>
          <w:i w:val="0"/>
          <w:smallCaps w:val="0"/>
          <w:strike w:val="0"/>
          <w:color w:val="c0504d"/>
          <w:sz w:val="24"/>
          <w:szCs w:val="24"/>
          <w:u w:val="none"/>
          <w:shd w:fill="auto" w:val="clear"/>
          <w:vertAlign w:val="baseline"/>
          <w:rtl w:val="0"/>
        </w:rPr>
        <w:t xml:space="preserve">additions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 the existing Basin-Specific Criteria rule OAR 340-041-0345 are listed below:</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63500</wp:posOffset>
                </wp:positionH>
                <wp:positionV relativeFrom="paragraph">
                  <wp:posOffset>101600</wp:posOffset>
                </wp:positionV>
                <wp:extent cx="1270" cy="12700"/>
                <wp:effectExtent b="0" l="0" r="0" t="0"/>
                <wp:wrapTopAndBottom distB="0" distT="0"/>
                <wp:docPr id="22" name=""/>
                <a:graphic>
                  <a:graphicData uri="http://schemas.microsoft.com/office/word/2010/wordprocessingShape">
                    <wps:wsp>
                      <wps:cNvSpPr/>
                      <wps:cNvPr id="2" name="Shape 2"/>
                      <wps:spPr>
                        <a:xfrm>
                          <a:off x="2630740" y="3779365"/>
                          <a:ext cx="5430520" cy="1270"/>
                        </a:xfrm>
                        <a:custGeom>
                          <a:rect b="b" l="l" r="r" t="t"/>
                          <a:pathLst>
                            <a:path extrusionOk="0" h="120000" w="8552">
                              <a:moveTo>
                                <a:pt x="0" y="0"/>
                              </a:moveTo>
                              <a:lnTo>
                                <a:pt x="8551" y="0"/>
                              </a:lnTo>
                            </a:path>
                          </a:pathLst>
                        </a:custGeom>
                        <a:noFill/>
                        <a:ln cap="flat" cmpd="sng" w="11275">
                          <a:solidFill>
                            <a:srgbClr val="000000"/>
                          </a:solidFill>
                          <a:prstDash val="dash"/>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63500</wp:posOffset>
                </wp:positionH>
                <wp:positionV relativeFrom="paragraph">
                  <wp:posOffset>101600</wp:posOffset>
                </wp:positionV>
                <wp:extent cx="1270" cy="12700"/>
                <wp:effectExtent b="0" l="0" r="0" t="0"/>
                <wp:wrapTopAndBottom distB="0" distT="0"/>
                <wp:docPr id="22"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270" cy="12700"/>
                        </a:xfrm>
                        <a:prstGeom prst="rect"/>
                        <a:ln/>
                      </pic:spPr>
                    </pic:pic>
                  </a:graphicData>
                </a:graphic>
              </wp:anchor>
            </w:drawing>
          </mc:Fallback>
        </mc:AlternateContent>
      </w:r>
    </w:p>
    <w:p w:rsidR="00000000" w:rsidDel="00000000" w:rsidP="00000000" w:rsidRDefault="00000000" w:rsidRPr="00000000" w14:paraId="00000046">
      <w:pPr>
        <w:pStyle w:val="Heading1"/>
        <w:ind w:left="0" w:firstLine="0"/>
        <w:rPr/>
      </w:pPr>
      <w:bookmarkStart w:colFirst="0" w:colLast="0" w:name="_heading=h.2s8eyo1" w:id="9"/>
      <w:bookmarkEnd w:id="9"/>
      <w:r w:rsidDel="00000000" w:rsidR="00000000" w:rsidRPr="00000000">
        <w:rPr>
          <w:rtl w:val="0"/>
        </w:rPr>
        <w:t xml:space="preserve">OAR 340-041-0004</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rPr>
          <w:b w:val="1"/>
          <w:sz w:val="24"/>
          <w:szCs w:val="24"/>
        </w:rPr>
      </w:pPr>
      <w:r w:rsidDel="00000000" w:rsidR="00000000" w:rsidRPr="00000000">
        <w:rPr>
          <w:b w:val="1"/>
          <w:sz w:val="24"/>
          <w:szCs w:val="24"/>
          <w:rtl w:val="0"/>
        </w:rPr>
        <w:t xml:space="preserve">Antidegradation</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Purpose. The purpose of the Antidegradation Policy is to guide decisions that affect water quality such that unnecessary further degradation from new or increased point and nonpoint sources of pollution is prevented, and to protect, maintain, and enhance existing surface water quality to ensure the full protection of all existing beneficial uses. The standards and policies set forth in OAR 340-041- 0007 through 340-041-0350 are intended to supplement the Antidegradation Policy.</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Growth Policy. In order to maintain the quality of waters in the State of Oregon, it is the general policy of the Commission to require that growth and development be accommodated by increased efficiency and effectiveness of waste treatment and control such that measurable future discharged waste loads from existing sources do not exceed presently allowed discharged loads except as provided in section (3) through (9) of this rule.</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Nondegradation Discharges. The following new or increased discharges are subject to this Division. However, because they are not considered degradation of water quality, they are not required to undergo an antidegradation review under this rule:</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42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Discharges Into Existing Mixing Zones. Pollutants discharged into the portion of a water body that has been included in a previous mixing zone for a permitted source, including the zones of initial dilution, are not considered a reduction in water quality, so long as the mixing zone is established in accordance with OAR 340-041-0053, there are no other overlapping mixing zones from other point sources, and the discharger complies with all effluent limits set out in its NPDES permit.</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43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Water Conservation Activities. An increase in a pollutant concentration is not considered a reduction in water quality so long as the increase occurs as the result of a water conservation activity, the total mass load of the pollutant is not increased, and the concentration increase has no adverse effect on either beneficial uses or threatened or endangered species in the water body.</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422"/>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Temperature. Insignificant temperature increases authorized under OAR 340-041-0028(11) and (12) are not considered a reduction in water quality.</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422"/>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Dissolved Oxygen. Up to a 0.1 mg/l decrease in dissolved oxygen from the upstream end of 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stream reach to the downstream end of the reach is not considered a reduction in water quality so long as it has no adverse effects on threatened and endangered species.</w:t>
      </w: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Recurring Activities. Since the baseline for applying the antidegradation policy to an individual source is the water quality resulting from the source's currently authorized discharge, and since regularly-scheduled, recurring activities remain subject to water quality standards and the terms and conditions in any applicable federal and state permits, certifications and licenses, the following activities will not be considered new or increasing discharges and will therefore not trigger an antidegradation review under this rule so long as they do not increase in frequency, intensity, duration or geographical extent:</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tabs>
          <w:tab w:val="left" w:leader="none" w:pos="1147"/>
        </w:tabs>
        <w:rPr>
          <w:sz w:val="24"/>
          <w:szCs w:val="24"/>
        </w:rPr>
      </w:pPr>
      <w:r w:rsidDel="00000000" w:rsidR="00000000" w:rsidRPr="00000000">
        <w:rPr>
          <w:sz w:val="24"/>
          <w:szCs w:val="24"/>
          <w:rtl w:val="0"/>
        </w:rPr>
        <w:t xml:space="preserve">a)</w:t>
        <w:tab/>
        <w:t xml:space="preserve">Rotating grazing pastures,</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tabs>
          <w:tab w:val="left" w:leader="none" w:pos="1147"/>
        </w:tabs>
        <w:rPr>
          <w:sz w:val="24"/>
          <w:szCs w:val="24"/>
        </w:rPr>
      </w:pPr>
      <w:r w:rsidDel="00000000" w:rsidR="00000000" w:rsidRPr="00000000">
        <w:rPr>
          <w:sz w:val="24"/>
          <w:szCs w:val="24"/>
          <w:rtl w:val="0"/>
        </w:rPr>
        <w:t xml:space="preserve">b)</w:t>
        <w:tab/>
        <w:t xml:space="preserve">Agricultural crop rotations, and</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tabs>
          <w:tab w:val="left" w:leader="none" w:pos="1147"/>
        </w:tabs>
        <w:rPr>
          <w:sz w:val="24"/>
          <w:szCs w:val="24"/>
        </w:rPr>
      </w:pPr>
      <w:r w:rsidDel="00000000" w:rsidR="00000000" w:rsidRPr="00000000">
        <w:rPr>
          <w:sz w:val="24"/>
          <w:szCs w:val="24"/>
          <w:rtl w:val="0"/>
        </w:rPr>
        <w:t xml:space="preserve">c)</w:t>
        <w:tab/>
        <w:t xml:space="preserve">Maintenance dredging.</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Exemptions to the Antidegradation Requirement. Some activities may, on a short term basis, cause temporary water quality degradation. However, these same activities may also have substantial and desirable environmental benefits. The following activities and situations fall into this category. Such activities and situations remain subject to water quality standards, and must demonstrate that they have minimized adverse affects to threatened and endangered species in order to be exempt from the antidegradation review under this rule:</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tabs>
          <w:tab w:val="left" w:leader="none" w:pos="427"/>
        </w:tabs>
        <w:rPr>
          <w:sz w:val="24"/>
          <w:szCs w:val="24"/>
        </w:rPr>
      </w:pPr>
      <w:r w:rsidDel="00000000" w:rsidR="00000000" w:rsidRPr="00000000">
        <w:rPr>
          <w:sz w:val="24"/>
          <w:szCs w:val="24"/>
          <w:rtl w:val="0"/>
        </w:rPr>
        <w:t xml:space="preserve">a)</w:t>
        <w:tab/>
        <w:t xml:space="preserve">Riparian Restoration Activities. Activities that are intended to restore the geomorphology or riparian vegetation of a water body, or control invasive species need not undergo an antidegradation review so long as the Department determines that there is a net ecological benefit to the restoration activity. Reasonable measures that are consistent with the restoration objectives for the water body must be used to minimize the degradation;</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tabs>
          <w:tab w:val="left" w:leader="none" w:pos="440"/>
        </w:tabs>
        <w:rPr>
          <w:sz w:val="24"/>
          <w:szCs w:val="24"/>
        </w:rPr>
      </w:pPr>
      <w:r w:rsidDel="00000000" w:rsidR="00000000" w:rsidRPr="00000000">
        <w:rPr>
          <w:sz w:val="24"/>
          <w:szCs w:val="24"/>
          <w:rtl w:val="0"/>
        </w:rPr>
        <w:t xml:space="preserve">b)</w:t>
        <w:tab/>
        <w:t xml:space="preserve">Emergency Situations. The Director or a designee may, for a period of time no greater than 6 months, allow lower water quality without an antidegradation review under this rule in order to respond to public health and welfare emergencies (for example, a significant threat of loss of life, personal injury or severe property damage); and</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tabs>
          <w:tab w:val="left" w:leader="none" w:pos="427"/>
        </w:tabs>
        <w:rPr>
          <w:sz w:val="24"/>
          <w:szCs w:val="24"/>
        </w:rPr>
      </w:pPr>
      <w:r w:rsidDel="00000000" w:rsidR="00000000" w:rsidRPr="00000000">
        <w:rPr>
          <w:sz w:val="24"/>
          <w:szCs w:val="24"/>
          <w:rtl w:val="0"/>
        </w:rPr>
        <w:t xml:space="preserve">c)</w:t>
        <w:tab/>
        <w:t xml:space="preserve">Exceptions. Exceptions authorized by the Commission or Department under (9) of this rule.</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27"/>
        </w:tabs>
        <w:spacing w:after="0" w:before="0" w:line="240" w:lineRule="auto"/>
        <w:ind w:left="100" w:right="0" w:hanging="3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High Quality Waters Policy: Where the existing water quality meets or exceeds those levels necessary to support propagation of fish, shellfish, and wildlife and recreation in and on the water, and other designated beneficial uses, that level of water quality must be maintained and protected. However, the Environmental Quality Commission, after full satisfaction of the intergovernmental coordination and public participation provisions of the continuing planning process, and with full consideration of sections (2) and (9) of this rule, and 340-041-0007(4), may allow a lowering of water quality in these high quality waters if it finds: </w:t>
      </w:r>
    </w:p>
    <w:p w:rsidR="00000000" w:rsidDel="00000000" w:rsidP="00000000" w:rsidRDefault="00000000" w:rsidRPr="00000000" w14:paraId="00000069">
      <w:pPr>
        <w:tabs>
          <w:tab w:val="left" w:leader="none" w:pos="427"/>
        </w:tabs>
        <w:rPr>
          <w:sz w:val="24"/>
          <w:szCs w:val="24"/>
        </w:rPr>
      </w:pPr>
      <w:r w:rsidDel="00000000" w:rsidR="00000000" w:rsidRPr="00000000">
        <w:rPr>
          <w:rtl w:val="0"/>
        </w:rPr>
      </w:r>
    </w:p>
    <w:p w:rsidR="00000000" w:rsidDel="00000000" w:rsidP="00000000" w:rsidRDefault="00000000" w:rsidRPr="00000000" w14:paraId="0000006A">
      <w:pPr>
        <w:tabs>
          <w:tab w:val="left" w:leader="none" w:pos="427"/>
        </w:tabs>
        <w:rPr>
          <w:sz w:val="24"/>
          <w:szCs w:val="24"/>
        </w:rPr>
      </w:pPr>
      <w:r w:rsidDel="00000000" w:rsidR="00000000" w:rsidRPr="00000000">
        <w:rPr>
          <w:sz w:val="24"/>
          <w:szCs w:val="24"/>
          <w:rtl w:val="0"/>
        </w:rPr>
        <w:t xml:space="preserve">a)</w:t>
        <w:tab/>
        <w:t xml:space="preserve">No other reasonable alternatives exist except to lower water quality; and</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3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tabs>
          <w:tab w:val="left" w:leader="none" w:pos="436"/>
        </w:tabs>
        <w:rPr>
          <w:sz w:val="24"/>
          <w:szCs w:val="24"/>
        </w:rPr>
      </w:pPr>
      <w:r w:rsidDel="00000000" w:rsidR="00000000" w:rsidRPr="00000000">
        <w:rPr>
          <w:sz w:val="24"/>
          <w:szCs w:val="24"/>
          <w:rtl w:val="0"/>
        </w:rPr>
        <w:t xml:space="preserve">b)</w:t>
        <w:tab/>
        <w:t xml:space="preserve">The action is necessary and benefits of the lowered water quality outweigh the environmental costs of the reduced water quality. This evaluation will be conducted in accordance with DEQ's "Antidegradation Policy Implementation Internal Management Directive for NPDES Permits and section 401 water quality certifications," pages 27, and 33-39 (March 2001) incorporated herein by reference;</w:t>
      </w:r>
    </w:p>
    <w:p w:rsidR="00000000" w:rsidDel="00000000" w:rsidP="00000000" w:rsidRDefault="00000000" w:rsidRPr="00000000" w14:paraId="0000006D">
      <w:pPr>
        <w:tabs>
          <w:tab w:val="left" w:leader="none" w:pos="414"/>
        </w:tabs>
        <w:rPr>
          <w:sz w:val="24"/>
          <w:szCs w:val="24"/>
        </w:rPr>
      </w:pPr>
      <w:r w:rsidDel="00000000" w:rsidR="00000000" w:rsidRPr="00000000">
        <w:rPr>
          <w:rtl w:val="0"/>
        </w:rPr>
      </w:r>
    </w:p>
    <w:p w:rsidR="00000000" w:rsidDel="00000000" w:rsidP="00000000" w:rsidRDefault="00000000" w:rsidRPr="00000000" w14:paraId="0000006E">
      <w:pPr>
        <w:tabs>
          <w:tab w:val="left" w:leader="none" w:pos="414"/>
        </w:tabs>
        <w:rPr>
          <w:sz w:val="24"/>
          <w:szCs w:val="24"/>
        </w:rPr>
      </w:pPr>
      <w:r w:rsidDel="00000000" w:rsidR="00000000" w:rsidRPr="00000000">
        <w:rPr>
          <w:sz w:val="24"/>
          <w:szCs w:val="24"/>
          <w:rtl w:val="0"/>
        </w:rPr>
        <w:t xml:space="preserve">c)</w:t>
        <w:tab/>
        <w:t xml:space="preserve">All water quality standards will be met and beneficial uses protected; and</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tabs>
          <w:tab w:val="left" w:leader="none" w:pos="414"/>
        </w:tabs>
        <w:rPr>
          <w:sz w:val="24"/>
          <w:szCs w:val="24"/>
        </w:rPr>
      </w:pPr>
      <w:r w:rsidDel="00000000" w:rsidR="00000000" w:rsidRPr="00000000">
        <w:rPr>
          <w:sz w:val="24"/>
          <w:szCs w:val="24"/>
          <w:rtl w:val="0"/>
        </w:rPr>
        <w:t xml:space="preserve">d)</w:t>
        <w:tab/>
        <w:t xml:space="preserve">Federal threatened and endangered aquatic species will not be adversely affected.</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3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Water Quality Limited Waters Policy: Water quality limited waters may not be further degraded except in accordance with section (9)(a)(B), (C) and (D) of this rule.</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2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Outstanding Resource Waters Policy. Where existing high quality waters constitute an outstanding State or national resource such as those waters designated as extraordinary resource waters, or as critical habitat areas, the existing water quality and water quality values must be maintained and protected, and classified as "Outstanding Resource Waters of Oregon."</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w:t>
        <w:tab/>
        <w:t xml:space="preserve">The Commission may specially designate high quality water bodies to be classified as Outstanding Resource Waters in order to protect the water quality parameters that affect ecological integrity of critical habitat or special water quality values that are vital to the unique character of those water bodies. The Department will develop a screening process and establish a list of nominated water bodies for Outstanding Resource Waters designation in the Biennial Water Quality Status Assessment Report (305(b) Report). The priority water bodies for nomination include:</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489"/>
        </w:tabs>
        <w:spacing w:after="0" w:before="0" w:line="240" w:lineRule="auto"/>
        <w:ind w:left="0" w:right="0" w:hanging="38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Those in State and National Parks;</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0" w:right="0" w:hanging="3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National Wild and Scenic Rivers;</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0" w:right="0" w:hanging="3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State Scenic Waterways;</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489"/>
        </w:tabs>
        <w:spacing w:after="0" w:before="0" w:line="240" w:lineRule="auto"/>
        <w:ind w:left="0" w:right="0" w:hanging="38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Those in State and National Wildlife Refuges; and</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463"/>
        </w:tabs>
        <w:spacing w:after="0" w:before="0" w:line="240" w:lineRule="auto"/>
        <w:ind w:left="0" w:right="0" w:hanging="36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Those in federally designated wilderness areas.</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43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Department will bring to the Commission a list of water bodies that are proposed for designation as Outstanding Resource Waters at the time of each triennial Water Quality Standards Review; and</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422"/>
        </w:tabs>
        <w:spacing w:after="0" w:before="0" w:line="240" w:lineRule="auto"/>
        <w:ind w:left="0" w:right="0" w:firstLine="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When designating Outstanding Resource Waters, the Commission may establish the water quality values to be protected and provide a process for determining what activities are allowed that would not affect the outstanding resource values. After the designation, the Commission may not allow activities that may lower water quality below the level established except on 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short term basis to respond to public health and welfare emergencies, or to obtain long-term water quality improvements.</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pStyle w:val="Heading1"/>
        <w:numPr>
          <w:ilvl w:val="1"/>
          <w:numId w:val="6"/>
        </w:numPr>
        <w:tabs>
          <w:tab w:val="left" w:leader="none" w:pos="450"/>
        </w:tabs>
        <w:ind w:left="0" w:hanging="350"/>
        <w:rPr/>
      </w:pPr>
      <w:bookmarkStart w:colFirst="0" w:colLast="0" w:name="_heading=h.17dp8vu" w:id="10"/>
      <w:bookmarkEnd w:id="10"/>
      <w:r w:rsidDel="00000000" w:rsidR="00000000" w:rsidRPr="00000000">
        <w:rPr>
          <w:rtl w:val="0"/>
        </w:rPr>
        <w:t xml:space="preserve">The following are Outstanding Resource Waters of Oregon:</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8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w:t>
        <w:tab/>
        <w:t xml:space="preserve">The North Fork Smith River and its tributaries and associated wetlands, South Coast Basin. See OAR 340-041-0305(4).</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8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8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w:t>
        <w:tab/>
        <w:t xml:space="preserve">Waldo Lake and its associated wetlands, Willamette Basin (pending). See OAR 340-041-0345(b).</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8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8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w:t>
        <w:tab/>
        <w:t xml:space="preserve">Crater Lake and is associated wetlands, Willamette Basin (pending). See OAR 340-041-0345(b)</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8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76"/>
        </w:tabs>
        <w:spacing w:after="0" w:before="0" w:line="240" w:lineRule="auto"/>
        <w:ind w:left="71" w:right="0" w:firstLine="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w:t>
        <w:tab/>
      </w:r>
      <w:r w:rsidDel="00000000" w:rsidR="00000000" w:rsidRPr="00000000">
        <w:rPr>
          <w:rFonts w:ascii="Times New Roman" w:cs="Times New Roman" w:eastAsia="Times New Roman" w:hAnsi="Times New Roman"/>
          <w:b w:val="1"/>
          <w:i w:val="0"/>
          <w:smallCaps w:val="0"/>
          <w:strike w:val="0"/>
          <w:color w:val="c0504d"/>
          <w:sz w:val="24"/>
          <w:szCs w:val="24"/>
          <w:u w:val="none"/>
          <w:shd w:fill="auto" w:val="clear"/>
          <w:vertAlign w:val="baseline"/>
          <w:rtl w:val="0"/>
        </w:rPr>
        <w:t xml:space="preserve">The Metolius River from its headwaters to Candle Creek, and its associated wetlands, Deschutes Basin. See OAR 340-041-0345(4)</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Exceptions. The Commission or Department may grant exceptions to this rule so long as the following procedures are met:</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42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allowing new or increased discharged loads, the Commission or Department must make the following findings:</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489"/>
        </w:tabs>
        <w:spacing w:after="0" w:before="0" w:line="240" w:lineRule="auto"/>
        <w:ind w:left="0" w:right="0" w:hanging="38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new or increased discharged load will not cause water quality standards to be violated;</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47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action is necessary and benefits of the lowered water quality outweigh the environmental costs of the reduced water quality. This evaluation will be conducted in accordance with DEQ's "Antidegradation Policy Implementation Internal Management Directive for NPDES Permits and section 401 water quality certifications," pages 27, and 33-39 (March 2001) incorporated herein by reference; and</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47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new or increased discharged load will not unacceptably threaten or impair any recognized beneficial uses or adversely affect threatened or endangered species. In making this determination, the Commission or Department may rely upon the presumption that if the numeric criteria established to protect specific uses are met the beneficial uses they were designed to protect are protected. In making this determination the Commission or Department may also evaluate other State and federal agency data that would provide information on potential impacts to beneficial uses for which the numeric criteria have not been set;</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48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new or increased discharged load may not be granted if the receiving stream is classified as being water quality limited under sub-section (a) of the definition of “Water Quality Limited” in OAR 340-041-0002, unless:</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383"/>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pollutant parameters associated with the proposed discharge are unrelated either directly or indirectly to the parameter(s) causing the receiving stream to violate water quality standards and being designated water quality limited; or</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44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Total maximum daily loads (TMDLs), waste load allocations (WLAs) load allocations (LAs), and the reserve capacity have been established for the water quality limited receiving stream; and compliance plans under which enforcement action can be taken have been established; and there will be sufficient reserve capacity to assimilate the increased load under the established TMDL at the time of discharge; or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449"/>
        </w:tabs>
        <w:spacing w:after="0" w:before="0" w:line="240" w:lineRule="auto"/>
        <w:ind w:left="0" w:right="0" w:firstLine="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Effective July 1, 1996, in water bodies designated water-quality limited for dissolved oxygen, when establishing WLAs under a TMDL for water bodies meeting the conditions defined in this rule, the Department may at its discretion provide an allowance for WLAs calculated to result in no measurable reduction of dissolved oxygen (DO). For this purpose, "no measurable reduction" is defined as no more than 0.10 mg/L for a single source and no more than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0.20 mg/L for all anthropogenic activities that influence the water quality limited segment. The allowance applies for surface water DO criteria and for Intergravel dissolved oxygen (IGDO) if a determination is made that the conditions are natural. The allowance for WLAs applies only to surface water 30-day and seven- day means; or</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50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Under extraordinary circumstances to solve an existing, immediate and critical environmental problem, the Commission or Department may, after the completion of a TMDL but before the water body has achieved compliance with standards, consider a waste load increase for an existing source on a receiving stream designated water quality limited under sub- section (a) of the definition of “Water Quality Limited” in OAR 340-041-0002. This action must be based on the following conditions:</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396"/>
        </w:tabs>
        <w:spacing w:after="0" w:before="0" w:line="240" w:lineRule="auto"/>
        <w:ind w:left="0" w:right="0" w:hanging="29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That TMDLs, WLAs and LAs have been set; and</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47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That a compliance plan under which enforcement actions can be taken has been established and is being implemented on schedule; and</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5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That an evaluation of the requested increased load shows that this increment of load will not have an unacceptable temporary or permanent adverse effect on beneficial uses or adversely affect threatened or endangered species; and</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That any waste load increase granted under subparagraph (iv) of this paragraph is temporary and does not extend beyond the TMDL compliance deadline established for the water body. If this action will result in a permanent load increase, the action has to comply with sub-paragraphs</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or (ii) of this paragraph.</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43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activity, expansion, or growth necessitating a new or increased discharge load is consistent with the acknowledged local land use plans as evidenced by a statement of land use compatibility from the appropriate local planning agency.</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42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Oregon's water quality management policies and programs recognize that Oregon's water bodies have a finite capacity to assimilate waste. Unused assimilative capacity is an exceedingly valuable resource that enhances in-stream values and environmental quality in general. Allocation of any unused assimilative capacity should be based on explicit criteria. In addition to the conditions in subsection (a) of this section, the Commission or Department may consider the following:</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494"/>
        </w:tabs>
        <w:spacing w:after="0" w:before="0" w:line="240" w:lineRule="auto"/>
        <w:ind w:left="0" w:right="0" w:hanging="3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Environmental Effects Criteria:</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374"/>
        </w:tabs>
        <w:spacing w:after="0" w:before="0" w:line="240" w:lineRule="auto"/>
        <w:ind w:left="0" w:right="0" w:hanging="274"/>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Adverse Out-of-Stream Effects. There may be instances where the non-discharge or limited</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discharge alternatives may cause greater adverse environmental effects than the increased discharge alternative. An example may be the potential degradation of groundwater from land application of wastes;</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5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Instream Effects. Total stream loading may be reduced through elimination or reduction of other source discharges or through a reduction in seasonal discharge. A source that replaces other sources, accepts additional waste from less efficient treatment units or systems, or reduces discharge loadings during periods of low stream flow may be permitted an increased discharge load year-round or during seasons of high flow, so long as the loading has no adverse affect on threatened and endangered species;</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2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Beneficial Effects. Land application, upland wetlands application, or other non-discharge alternatives for appropriately treated wastewater may replenish groundwater levels and increase streamflow and assimilative capacity during otherwise low streamflow periods.</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Economic Effects Criteria. When assimilative capacity exists in a stream, and when it is judged that increased loadings will not have significantly greater adverse environmental effects than other alternatives to increased discharge, the economic effect of increased loading will be considered. Economic effects will be of two general types:</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83"/>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Value of Assimilative Capacity. The assimilative capacity of Oregon's streams is finite, but the potential uses of this capacity are virtually unlimited. Thus it is important that priority be given to those beneficial uses that promise the greatest return (beneficial use) relative to the unused assimilative capacity that might be utilized. In-stream uses that will benefit from reserve assimilative capacity, as well as potential future beneficial use, will be weighed against the economic benefit associated with increased loading;</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5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Cost of Treatment Technology. The cost of improved treatment technology, non-discharge and limited discharge alternatives may be evaluated.</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Stat. Auth.: ORS 468.020, 468B.030, 468B.035 &amp; 468B.048</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Stats. Implemented: ORS 468B.030, 468B.035 &amp; 468B.048</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Hist.: DEQ 17-2003, f. &amp; cert. ef. 12-9-03; DEQ 2-2007, f. &amp; cert. ef. 3-15-07</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headerReference r:id="rId8" w:type="default"/>
          <w:headerReference r:id="rId9" w:type="first"/>
          <w:headerReference r:id="rId10" w:type="even"/>
          <w:footerReference r:id="rId11" w:type="default"/>
          <w:footerReference r:id="rId12" w:type="first"/>
          <w:footerReference r:id="rId13" w:type="even"/>
          <w:pgSz w:h="15840" w:w="12240" w:orient="portrait"/>
          <w:pgMar w:bottom="1180" w:top="1380" w:left="1340" w:right="1340" w:header="0" w:footer="999"/>
          <w:pgNumType w:start="1"/>
        </w:sectPr>
      </w:pPr>
      <w:r w:rsidDel="00000000" w:rsidR="00000000" w:rsidRPr="00000000">
        <w:rPr>
          <w:rtl w:val="0"/>
        </w:rPr>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63500</wp:posOffset>
                </wp:positionH>
                <wp:positionV relativeFrom="paragraph">
                  <wp:posOffset>114300</wp:posOffset>
                </wp:positionV>
                <wp:extent cx="1270" cy="12700"/>
                <wp:effectExtent b="0" l="0" r="0" t="0"/>
                <wp:wrapTopAndBottom distB="0" distT="0"/>
                <wp:docPr id="23" name=""/>
                <a:graphic>
                  <a:graphicData uri="http://schemas.microsoft.com/office/word/2010/wordprocessingShape">
                    <wps:wsp>
                      <wps:cNvSpPr/>
                      <wps:cNvPr id="3" name="Shape 3"/>
                      <wps:spPr>
                        <a:xfrm>
                          <a:off x="2630740" y="3779365"/>
                          <a:ext cx="5430520" cy="1270"/>
                        </a:xfrm>
                        <a:custGeom>
                          <a:rect b="b" l="l" r="r" t="t"/>
                          <a:pathLst>
                            <a:path extrusionOk="0" h="120000" w="8552">
                              <a:moveTo>
                                <a:pt x="0" y="0"/>
                              </a:moveTo>
                              <a:lnTo>
                                <a:pt x="8551" y="0"/>
                              </a:lnTo>
                            </a:path>
                          </a:pathLst>
                        </a:custGeom>
                        <a:noFill/>
                        <a:ln cap="flat" cmpd="sng" w="11275">
                          <a:solidFill>
                            <a:srgbClr val="000000"/>
                          </a:solidFill>
                          <a:prstDash val="dash"/>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63500</wp:posOffset>
                </wp:positionH>
                <wp:positionV relativeFrom="paragraph">
                  <wp:posOffset>114300</wp:posOffset>
                </wp:positionV>
                <wp:extent cx="1270" cy="12700"/>
                <wp:effectExtent b="0" l="0" r="0" t="0"/>
                <wp:wrapTopAndBottom distB="0" distT="0"/>
                <wp:docPr id="23" name="image2.png"/>
                <a:graphic>
                  <a:graphicData uri="http://schemas.openxmlformats.org/drawingml/2006/picture">
                    <pic:pic>
                      <pic:nvPicPr>
                        <pic:cNvPr id="0" name="image2.png"/>
                        <pic:cNvPicPr preferRelativeResize="0"/>
                      </pic:nvPicPr>
                      <pic:blipFill>
                        <a:blip r:embed="rId14"/>
                        <a:srcRect/>
                        <a:stretch>
                          <a:fillRect/>
                        </a:stretch>
                      </pic:blipFill>
                      <pic:spPr>
                        <a:xfrm>
                          <a:off x="0" y="0"/>
                          <a:ext cx="1270" cy="12700"/>
                        </a:xfrm>
                        <a:prstGeom prst="rect"/>
                        <a:ln/>
                      </pic:spPr>
                    </pic:pic>
                  </a:graphicData>
                </a:graphic>
              </wp:anchor>
            </w:drawing>
          </mc:Fallback>
        </mc:AlternateContent>
      </w:r>
    </w:p>
    <w:p w:rsidR="00000000" w:rsidDel="00000000" w:rsidP="00000000" w:rsidRDefault="00000000" w:rsidRPr="00000000" w14:paraId="000000C4">
      <w:pPr>
        <w:pStyle w:val="Heading1"/>
        <w:ind w:left="0" w:firstLine="0"/>
        <w:jc w:val="center"/>
        <w:rPr/>
      </w:pPr>
      <w:bookmarkStart w:colFirst="0" w:colLast="0" w:name="_heading=h.3rdcrjn" w:id="11"/>
      <w:bookmarkEnd w:id="11"/>
      <w:r w:rsidDel="00000000" w:rsidR="00000000" w:rsidRPr="00000000">
        <w:rPr>
          <w:rtl w:val="0"/>
        </w:rPr>
        <w:t xml:space="preserve">Basin-Specific Criteria</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rPr>
          <w:b w:val="1"/>
          <w:sz w:val="24"/>
          <w:szCs w:val="24"/>
        </w:rPr>
      </w:pPr>
      <w:r w:rsidDel="00000000" w:rsidR="00000000" w:rsidRPr="00000000">
        <w:rPr>
          <w:b w:val="1"/>
          <w:sz w:val="24"/>
          <w:szCs w:val="24"/>
          <w:rtl w:val="0"/>
        </w:rPr>
        <w:t xml:space="preserve">340-041-0130</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rPr>
          <w:b w:val="1"/>
          <w:sz w:val="24"/>
          <w:szCs w:val="24"/>
        </w:rPr>
      </w:pPr>
      <w:r w:rsidDel="00000000" w:rsidR="00000000" w:rsidRPr="00000000">
        <w:rPr>
          <w:b w:val="1"/>
          <w:sz w:val="24"/>
          <w:szCs w:val="24"/>
          <w:rtl w:val="0"/>
        </w:rPr>
        <w:t xml:space="preserve">Basin-Specific Criteria (Upper Deschutes): Water Quality Standards and Policies for this Basin</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40"/>
        </w:tabs>
        <w:spacing w:after="0" w:before="0" w:line="240" w:lineRule="auto"/>
        <w:ind w:left="0" w:right="0" w:hanging="34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9a403e"/>
          <w:sz w:val="24"/>
          <w:szCs w:val="24"/>
          <w:u w:val="none"/>
          <w:shd w:fill="auto" w:val="clear"/>
          <w:vertAlign w:val="baseline"/>
          <w:rtl w:val="0"/>
        </w:rPr>
        <w:t xml:space="preserve">Outstanding Resource Waters of Oregon (ORWs)</w:t>
      </w: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tabs>
          <w:tab w:val="left" w:leader="none" w:pos="400"/>
        </w:tabs>
        <w:spacing w:after="0" w:before="0" w:line="240" w:lineRule="auto"/>
        <w:ind w:left="400" w:right="0" w:hanging="30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c0504d"/>
          <w:sz w:val="24"/>
          <w:szCs w:val="24"/>
          <w:u w:val="none"/>
          <w:shd w:fill="auto" w:val="clear"/>
          <w:vertAlign w:val="baseline"/>
          <w:rtl w:val="0"/>
        </w:rPr>
        <w:t xml:space="preserve">The Metolius River from its headwaters to Candle Creek as a Tier 2.5 water.</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00"/>
        </w:tabs>
        <w:spacing w:after="0" w:before="0" w:line="240" w:lineRule="auto"/>
        <w:ind w:left="400" w:right="0" w:firstLine="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tabs>
          <w:tab w:val="left" w:leader="none" w:pos="400"/>
        </w:tabs>
        <w:spacing w:after="0" w:before="0" w:line="240" w:lineRule="auto"/>
        <w:ind w:left="400" w:right="0" w:hanging="30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c0504d"/>
          <w:sz w:val="24"/>
          <w:szCs w:val="24"/>
          <w:u w:val="none"/>
          <w:shd w:fill="auto" w:val="clear"/>
          <w:vertAlign w:val="baseline"/>
          <w:rtl w:val="0"/>
        </w:rPr>
        <w:t xml:space="preserve">The current high water quality, exceptional ecological values, and existing and designated uses of the ORWs identified in this rule (“these waters”) shall be maintained and protected except as altered by natural causes.</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tabs>
          <w:tab w:val="left" w:leader="none" w:pos="400"/>
        </w:tabs>
        <w:spacing w:after="0" w:before="0" w:line="240" w:lineRule="auto"/>
        <w:ind w:left="400" w:right="0" w:hanging="30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c0504d"/>
          <w:sz w:val="24"/>
          <w:szCs w:val="24"/>
          <w:u w:val="none"/>
          <w:shd w:fill="auto" w:val="clear"/>
          <w:vertAlign w:val="baseline"/>
          <w:rtl w:val="0"/>
        </w:rPr>
        <w:t xml:space="preserve">No new NPDES discharge or expansion of an existing discharge to these waters shall be allowed.</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tabs>
          <w:tab w:val="left" w:leader="none" w:pos="400"/>
        </w:tabs>
        <w:spacing w:after="0" w:before="0" w:line="240" w:lineRule="auto"/>
        <w:ind w:left="400" w:right="0" w:hanging="30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c0504d"/>
          <w:sz w:val="24"/>
          <w:szCs w:val="24"/>
          <w:u w:val="none"/>
          <w:shd w:fill="auto" w:val="clear"/>
          <w:vertAlign w:val="baseline"/>
          <w:rtl w:val="0"/>
        </w:rPr>
        <w:t xml:space="preserve">No new NPDES discharge or expansion of an existing discharge to waters upstream of or tributary to these waters shall be allowed if such discharge would significantly degrade the water quality within these waters.</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tabs>
          <w:tab w:val="left" w:leader="none" w:pos="400"/>
        </w:tabs>
        <w:spacing w:after="0" w:before="0" w:line="240" w:lineRule="auto"/>
        <w:ind w:left="400" w:right="0" w:hanging="30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c0504d"/>
          <w:sz w:val="24"/>
          <w:szCs w:val="24"/>
          <w:u w:val="none"/>
          <w:shd w:fill="auto" w:val="clear"/>
          <w:vertAlign w:val="baseline"/>
          <w:rtl w:val="0"/>
        </w:rPr>
        <w:t xml:space="preserve">No activities shall be allowed that would degrade the existing water quality and ecological characteristics and values of these waters.</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tabs>
          <w:tab w:val="left" w:leader="none" w:pos="400"/>
        </w:tabs>
        <w:spacing w:after="0" w:before="0" w:line="240" w:lineRule="auto"/>
        <w:ind w:left="400" w:right="0" w:hanging="30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c0504d"/>
          <w:sz w:val="24"/>
          <w:szCs w:val="24"/>
          <w:u w:val="none"/>
          <w:shd w:fill="auto" w:val="clear"/>
          <w:vertAlign w:val="baseline"/>
          <w:rtl w:val="0"/>
        </w:rPr>
        <w:t xml:space="preserve">DEQ may allow an exception to 340-041-130 (b) through (e) for a defined limited duration if an activity or discharge:</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400"/>
        </w:tabs>
        <w:spacing w:after="0" w:before="0" w:line="240" w:lineRule="auto"/>
        <w:ind w:left="799" w:right="0" w:hanging="36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c0504d"/>
          <w:sz w:val="24"/>
          <w:szCs w:val="24"/>
          <w:u w:val="none"/>
          <w:shd w:fill="auto" w:val="clear"/>
          <w:vertAlign w:val="baseline"/>
          <w:rtl w:val="0"/>
        </w:rPr>
        <w:t xml:space="preserve">Is needed to respond to a public health or welfare emergency; or</w:t>
      </w:r>
    </w:p>
    <w:p w:rsidR="00000000" w:rsidDel="00000000" w:rsidP="00000000" w:rsidRDefault="00000000" w:rsidRPr="00000000" w14:paraId="000000DB">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400"/>
        </w:tabs>
        <w:spacing w:after="0" w:before="0" w:line="240" w:lineRule="auto"/>
        <w:ind w:left="799" w:right="0" w:hanging="36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c0504d"/>
          <w:sz w:val="24"/>
          <w:szCs w:val="24"/>
          <w:u w:val="none"/>
          <w:shd w:fill="auto" w:val="clear"/>
          <w:vertAlign w:val="baseline"/>
          <w:rtl w:val="0"/>
        </w:rPr>
        <w:t xml:space="preserve">Is expected to result in the restoration or enhancement of the water quality or ecological integrity of these waters.</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00"/>
        </w:tabs>
        <w:spacing w:after="0" w:before="0" w:line="240" w:lineRule="auto"/>
        <w:ind w:left="400" w:right="0" w:firstLine="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tabs>
          <w:tab w:val="left" w:leader="none" w:pos="400"/>
        </w:tabs>
        <w:spacing w:after="0" w:before="0" w:line="240" w:lineRule="auto"/>
        <w:ind w:left="400" w:right="0" w:hanging="30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c0504d"/>
          <w:sz w:val="24"/>
          <w:szCs w:val="24"/>
          <w:u w:val="none"/>
          <w:shd w:fill="auto" w:val="clear"/>
          <w:vertAlign w:val="baseline"/>
          <w:rtl w:val="0"/>
        </w:rPr>
        <w:t xml:space="preserve">Provided, however, that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00"/>
        </w:tabs>
        <w:spacing w:after="0" w:before="0" w:line="240" w:lineRule="auto"/>
        <w:ind w:left="400" w:right="0" w:firstLine="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400"/>
        </w:tabs>
        <w:spacing w:after="0" w:before="0" w:line="240" w:lineRule="auto"/>
        <w:ind w:left="760" w:right="0" w:hanging="36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c0504d"/>
          <w:sz w:val="24"/>
          <w:szCs w:val="24"/>
          <w:u w:val="none"/>
          <w:shd w:fill="auto" w:val="clear"/>
          <w:vertAlign w:val="baseline"/>
          <w:rtl w:val="0"/>
        </w:rPr>
        <w:t xml:space="preserve">the foregoing rules shall no effect on any right, interest or management authority of the Confederated Tribes of Warm Springs, now known or known in the future, asserted or non-asserted, adjudicated or unadjudicated;</w:t>
      </w:r>
    </w:p>
    <w:p w:rsidR="00000000" w:rsidDel="00000000" w:rsidP="00000000" w:rsidRDefault="00000000" w:rsidRPr="00000000" w14:paraId="000000E0">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400"/>
        </w:tabs>
        <w:spacing w:after="0" w:before="0" w:line="240" w:lineRule="auto"/>
        <w:ind w:left="760" w:right="0" w:hanging="36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c0504d"/>
          <w:sz w:val="24"/>
          <w:szCs w:val="24"/>
          <w:u w:val="none"/>
          <w:shd w:fill="auto" w:val="clear"/>
          <w:vertAlign w:val="baseline"/>
          <w:rtl w:val="0"/>
        </w:rPr>
        <w:t xml:space="preserve">the foregoing rules shall not affect management of riparian areas in the designated ORW by the US Forest Service so long as the manager uses best management practices; and</w:t>
      </w:r>
    </w:p>
    <w:p w:rsidR="00000000" w:rsidDel="00000000" w:rsidP="00000000" w:rsidRDefault="00000000" w:rsidRPr="00000000" w14:paraId="000000E1">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400"/>
        </w:tabs>
        <w:spacing w:after="0" w:before="0" w:line="240" w:lineRule="auto"/>
        <w:ind w:left="760" w:right="0" w:hanging="360"/>
        <w:jc w:val="left"/>
        <w:rPr>
          <w:rFonts w:ascii="Times New Roman" w:cs="Times New Roman" w:eastAsia="Times New Roman" w:hAnsi="Times New Roman"/>
          <w:b w:val="1"/>
          <w:i w:val="0"/>
          <w:smallCaps w:val="0"/>
          <w:strike w:val="0"/>
          <w:color w:val="c0504d"/>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c0504d"/>
          <w:sz w:val="24"/>
          <w:szCs w:val="24"/>
          <w:u w:val="none"/>
          <w:shd w:fill="auto" w:val="clear"/>
          <w:vertAlign w:val="baseline"/>
          <w:rtl w:val="0"/>
        </w:rPr>
        <w:t xml:space="preserve">the foregoing rules shall not affect management or operation of the fish hatchery at Wizard Falls by the Oregon Department of Fish and Wildlife so long as the agency operates the hatchery pursuant to its existing license(s).</w:t>
      </w:r>
    </w:p>
    <w:p w:rsidR="00000000" w:rsidDel="00000000" w:rsidP="00000000" w:rsidRDefault="00000000" w:rsidRPr="00000000" w14:paraId="000000E2">
      <w:pPr>
        <w:rPr/>
      </w:pPr>
      <w:r w:rsidDel="00000000" w:rsidR="00000000" w:rsidRPr="00000000">
        <w:rPr>
          <w:rtl w:val="0"/>
        </w:rPr>
      </w:r>
    </w:p>
    <w:sectPr>
      <w:type w:val="nextPage"/>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pict>
        <v:shape id="PowerPlusWaterMarkObject1" style="position:absolute;width:412.4pt;height:247.45pt;rotation:315;z-index:-503316481;mso-position-horizontal-relative:margin;mso-position-horizontal:center;mso-position-vertical-relative:margin;mso-position-vertical:center;" fillcolor="#c0c0c0" stroked="f" type="#_x0000_t136">
          <v:fill angle="0" opacity="32768f"/>
          <v:textpath fitshape="t" string="DRAFT" style="font-family:&amp;quot;Calibri&amp;quot;;font-size:1pt;"/>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Roman"/>
      <w:lvlText w:val="(%1)"/>
      <w:lvlJc w:val="left"/>
      <w:pPr>
        <w:ind w:left="100" w:hanging="283"/>
      </w:pPr>
      <w:rPr>
        <w:rFonts w:ascii="Times New Roman" w:cs="Times New Roman" w:eastAsia="Times New Roman" w:hAnsi="Times New Roman"/>
        <w:sz w:val="24"/>
        <w:szCs w:val="24"/>
      </w:rPr>
    </w:lvl>
    <w:lvl w:ilvl="1">
      <w:start w:val="0"/>
      <w:numFmt w:val="bullet"/>
      <w:lvlText w:val="•"/>
      <w:lvlJc w:val="left"/>
      <w:pPr>
        <w:ind w:left="1046" w:hanging="283"/>
      </w:pPr>
      <w:rPr/>
    </w:lvl>
    <w:lvl w:ilvl="2">
      <w:start w:val="0"/>
      <w:numFmt w:val="bullet"/>
      <w:lvlText w:val="•"/>
      <w:lvlJc w:val="left"/>
      <w:pPr>
        <w:ind w:left="1992" w:hanging="283.0000000000002"/>
      </w:pPr>
      <w:rPr/>
    </w:lvl>
    <w:lvl w:ilvl="3">
      <w:start w:val="0"/>
      <w:numFmt w:val="bullet"/>
      <w:lvlText w:val="•"/>
      <w:lvlJc w:val="left"/>
      <w:pPr>
        <w:ind w:left="2938" w:hanging="283"/>
      </w:pPr>
      <w:rPr/>
    </w:lvl>
    <w:lvl w:ilvl="4">
      <w:start w:val="0"/>
      <w:numFmt w:val="bullet"/>
      <w:lvlText w:val="•"/>
      <w:lvlJc w:val="left"/>
      <w:pPr>
        <w:ind w:left="3884" w:hanging="283.00000000000045"/>
      </w:pPr>
      <w:rPr/>
    </w:lvl>
    <w:lvl w:ilvl="5">
      <w:start w:val="0"/>
      <w:numFmt w:val="bullet"/>
      <w:lvlText w:val="•"/>
      <w:lvlJc w:val="left"/>
      <w:pPr>
        <w:ind w:left="4830" w:hanging="283"/>
      </w:pPr>
      <w:rPr/>
    </w:lvl>
    <w:lvl w:ilvl="6">
      <w:start w:val="0"/>
      <w:numFmt w:val="bullet"/>
      <w:lvlText w:val="•"/>
      <w:lvlJc w:val="left"/>
      <w:pPr>
        <w:ind w:left="5776" w:hanging="282.9999999999991"/>
      </w:pPr>
      <w:rPr/>
    </w:lvl>
    <w:lvl w:ilvl="7">
      <w:start w:val="0"/>
      <w:numFmt w:val="bullet"/>
      <w:lvlText w:val="•"/>
      <w:lvlJc w:val="left"/>
      <w:pPr>
        <w:ind w:left="6722" w:hanging="282.9999999999991"/>
      </w:pPr>
      <w:rPr/>
    </w:lvl>
    <w:lvl w:ilvl="8">
      <w:start w:val="0"/>
      <w:numFmt w:val="bullet"/>
      <w:lvlText w:val="•"/>
      <w:lvlJc w:val="left"/>
      <w:pPr>
        <w:ind w:left="7668" w:hanging="283"/>
      </w:pPr>
      <w:rPr/>
    </w:lvl>
  </w:abstractNum>
  <w:abstractNum w:abstractNumId="2">
    <w:lvl w:ilvl="0">
      <w:start w:val="1"/>
      <w:numFmt w:val="lowerRoman"/>
      <w:lvlText w:val="(%1)"/>
      <w:lvlJc w:val="left"/>
      <w:pPr>
        <w:ind w:left="373" w:hanging="274"/>
      </w:pPr>
      <w:rPr>
        <w:rFonts w:ascii="Times New Roman" w:cs="Times New Roman" w:eastAsia="Times New Roman" w:hAnsi="Times New Roman"/>
        <w:sz w:val="24"/>
        <w:szCs w:val="24"/>
      </w:rPr>
    </w:lvl>
    <w:lvl w:ilvl="1">
      <w:start w:val="0"/>
      <w:numFmt w:val="bullet"/>
      <w:lvlText w:val="•"/>
      <w:lvlJc w:val="left"/>
      <w:pPr>
        <w:ind w:left="1298" w:hanging="274"/>
      </w:pPr>
      <w:rPr/>
    </w:lvl>
    <w:lvl w:ilvl="2">
      <w:start w:val="0"/>
      <w:numFmt w:val="bullet"/>
      <w:lvlText w:val="•"/>
      <w:lvlJc w:val="left"/>
      <w:pPr>
        <w:ind w:left="2216" w:hanging="274"/>
      </w:pPr>
      <w:rPr/>
    </w:lvl>
    <w:lvl w:ilvl="3">
      <w:start w:val="0"/>
      <w:numFmt w:val="bullet"/>
      <w:lvlText w:val="•"/>
      <w:lvlJc w:val="left"/>
      <w:pPr>
        <w:ind w:left="3134" w:hanging="274"/>
      </w:pPr>
      <w:rPr/>
    </w:lvl>
    <w:lvl w:ilvl="4">
      <w:start w:val="0"/>
      <w:numFmt w:val="bullet"/>
      <w:lvlText w:val="•"/>
      <w:lvlJc w:val="left"/>
      <w:pPr>
        <w:ind w:left="4052" w:hanging="274"/>
      </w:pPr>
      <w:rPr/>
    </w:lvl>
    <w:lvl w:ilvl="5">
      <w:start w:val="0"/>
      <w:numFmt w:val="bullet"/>
      <w:lvlText w:val="•"/>
      <w:lvlJc w:val="left"/>
      <w:pPr>
        <w:ind w:left="4970" w:hanging="274"/>
      </w:pPr>
      <w:rPr/>
    </w:lvl>
    <w:lvl w:ilvl="6">
      <w:start w:val="0"/>
      <w:numFmt w:val="bullet"/>
      <w:lvlText w:val="•"/>
      <w:lvlJc w:val="left"/>
      <w:pPr>
        <w:ind w:left="5888" w:hanging="274"/>
      </w:pPr>
      <w:rPr/>
    </w:lvl>
    <w:lvl w:ilvl="7">
      <w:start w:val="0"/>
      <w:numFmt w:val="bullet"/>
      <w:lvlText w:val="•"/>
      <w:lvlJc w:val="left"/>
      <w:pPr>
        <w:ind w:left="6806" w:hanging="274"/>
      </w:pPr>
      <w:rPr/>
    </w:lvl>
    <w:lvl w:ilvl="8">
      <w:start w:val="0"/>
      <w:numFmt w:val="bullet"/>
      <w:lvlText w:val="•"/>
      <w:lvlJc w:val="left"/>
      <w:pPr>
        <w:ind w:left="7724" w:hanging="274"/>
      </w:pPr>
      <w:rPr/>
    </w:lvl>
  </w:abstractNum>
  <w:abstractNum w:abstractNumId="3">
    <w:lvl w:ilvl="0">
      <w:start w:val="1"/>
      <w:numFmt w:val="upperLetter"/>
      <w:lvlText w:val="(%1)"/>
      <w:lvlJc w:val="left"/>
      <w:pPr>
        <w:ind w:left="493" w:hanging="394"/>
      </w:pPr>
      <w:rPr>
        <w:rFonts w:ascii="Times New Roman" w:cs="Times New Roman" w:eastAsia="Times New Roman" w:hAnsi="Times New Roman"/>
        <w:sz w:val="24"/>
        <w:szCs w:val="24"/>
      </w:rPr>
    </w:lvl>
    <w:lvl w:ilvl="1">
      <w:start w:val="0"/>
      <w:numFmt w:val="bullet"/>
      <w:lvlText w:val="•"/>
      <w:lvlJc w:val="left"/>
      <w:pPr>
        <w:ind w:left="1406" w:hanging="394.0000000000001"/>
      </w:pPr>
      <w:rPr/>
    </w:lvl>
    <w:lvl w:ilvl="2">
      <w:start w:val="0"/>
      <w:numFmt w:val="bullet"/>
      <w:lvlText w:val="•"/>
      <w:lvlJc w:val="left"/>
      <w:pPr>
        <w:ind w:left="2312" w:hanging="394.0000000000002"/>
      </w:pPr>
      <w:rPr/>
    </w:lvl>
    <w:lvl w:ilvl="3">
      <w:start w:val="0"/>
      <w:numFmt w:val="bullet"/>
      <w:lvlText w:val="•"/>
      <w:lvlJc w:val="left"/>
      <w:pPr>
        <w:ind w:left="3218" w:hanging="393.99999999999955"/>
      </w:pPr>
      <w:rPr/>
    </w:lvl>
    <w:lvl w:ilvl="4">
      <w:start w:val="0"/>
      <w:numFmt w:val="bullet"/>
      <w:lvlText w:val="•"/>
      <w:lvlJc w:val="left"/>
      <w:pPr>
        <w:ind w:left="4124" w:hanging="394"/>
      </w:pPr>
      <w:rPr/>
    </w:lvl>
    <w:lvl w:ilvl="5">
      <w:start w:val="0"/>
      <w:numFmt w:val="bullet"/>
      <w:lvlText w:val="•"/>
      <w:lvlJc w:val="left"/>
      <w:pPr>
        <w:ind w:left="5030" w:hanging="394"/>
      </w:pPr>
      <w:rPr/>
    </w:lvl>
    <w:lvl w:ilvl="6">
      <w:start w:val="0"/>
      <w:numFmt w:val="bullet"/>
      <w:lvlText w:val="•"/>
      <w:lvlJc w:val="left"/>
      <w:pPr>
        <w:ind w:left="5936" w:hanging="394"/>
      </w:pPr>
      <w:rPr/>
    </w:lvl>
    <w:lvl w:ilvl="7">
      <w:start w:val="0"/>
      <w:numFmt w:val="bullet"/>
      <w:lvlText w:val="•"/>
      <w:lvlJc w:val="left"/>
      <w:pPr>
        <w:ind w:left="6842" w:hanging="393.9999999999991"/>
      </w:pPr>
      <w:rPr/>
    </w:lvl>
    <w:lvl w:ilvl="8">
      <w:start w:val="0"/>
      <w:numFmt w:val="bullet"/>
      <w:lvlText w:val="•"/>
      <w:lvlJc w:val="left"/>
      <w:pPr>
        <w:ind w:left="7748" w:hanging="394"/>
      </w:pPr>
      <w:rPr/>
    </w:lvl>
  </w:abstractNum>
  <w:abstractNum w:abstractNumId="4">
    <w:lvl w:ilvl="0">
      <w:start w:val="1"/>
      <w:numFmt w:val="upperLetter"/>
      <w:lvlText w:val="(%1)"/>
      <w:lvlJc w:val="left"/>
      <w:pPr>
        <w:ind w:left="488" w:hanging="389"/>
      </w:pPr>
      <w:rPr>
        <w:rFonts w:ascii="Times New Roman" w:cs="Times New Roman" w:eastAsia="Times New Roman" w:hAnsi="Times New Roman"/>
        <w:sz w:val="24"/>
        <w:szCs w:val="24"/>
      </w:rPr>
    </w:lvl>
    <w:lvl w:ilvl="1">
      <w:start w:val="0"/>
      <w:numFmt w:val="bullet"/>
      <w:lvlText w:val="•"/>
      <w:lvlJc w:val="left"/>
      <w:pPr>
        <w:ind w:left="1388" w:hanging="389"/>
      </w:pPr>
      <w:rPr/>
    </w:lvl>
    <w:lvl w:ilvl="2">
      <w:start w:val="0"/>
      <w:numFmt w:val="bullet"/>
      <w:lvlText w:val="•"/>
      <w:lvlJc w:val="left"/>
      <w:pPr>
        <w:ind w:left="2296" w:hanging="389"/>
      </w:pPr>
      <w:rPr/>
    </w:lvl>
    <w:lvl w:ilvl="3">
      <w:start w:val="0"/>
      <w:numFmt w:val="bullet"/>
      <w:lvlText w:val="•"/>
      <w:lvlJc w:val="left"/>
      <w:pPr>
        <w:ind w:left="3204" w:hanging="389"/>
      </w:pPr>
      <w:rPr/>
    </w:lvl>
    <w:lvl w:ilvl="4">
      <w:start w:val="0"/>
      <w:numFmt w:val="bullet"/>
      <w:lvlText w:val="•"/>
      <w:lvlJc w:val="left"/>
      <w:pPr>
        <w:ind w:left="4112" w:hanging="389"/>
      </w:pPr>
      <w:rPr/>
    </w:lvl>
    <w:lvl w:ilvl="5">
      <w:start w:val="0"/>
      <w:numFmt w:val="bullet"/>
      <w:lvlText w:val="•"/>
      <w:lvlJc w:val="left"/>
      <w:pPr>
        <w:ind w:left="5020" w:hanging="389"/>
      </w:pPr>
      <w:rPr/>
    </w:lvl>
    <w:lvl w:ilvl="6">
      <w:start w:val="0"/>
      <w:numFmt w:val="bullet"/>
      <w:lvlText w:val="•"/>
      <w:lvlJc w:val="left"/>
      <w:pPr>
        <w:ind w:left="5928" w:hanging="389"/>
      </w:pPr>
      <w:rPr/>
    </w:lvl>
    <w:lvl w:ilvl="7">
      <w:start w:val="0"/>
      <w:numFmt w:val="bullet"/>
      <w:lvlText w:val="•"/>
      <w:lvlJc w:val="left"/>
      <w:pPr>
        <w:ind w:left="6836" w:hanging="389"/>
      </w:pPr>
      <w:rPr/>
    </w:lvl>
    <w:lvl w:ilvl="8">
      <w:start w:val="0"/>
      <w:numFmt w:val="bullet"/>
      <w:lvlText w:val="•"/>
      <w:lvlJc w:val="left"/>
      <w:pPr>
        <w:ind w:left="7744" w:hanging="389"/>
      </w:pPr>
      <w:rPr/>
    </w:lvl>
  </w:abstractNum>
  <w:abstractNum w:abstractNumId="5">
    <w:lvl w:ilvl="0">
      <w:start w:val="1"/>
      <w:numFmt w:val="upperRoman"/>
      <w:lvlText w:val="(%1)"/>
      <w:lvlJc w:val="left"/>
      <w:pPr>
        <w:ind w:left="395" w:hanging="296"/>
      </w:pPr>
      <w:rPr>
        <w:rFonts w:ascii="Times New Roman" w:cs="Times New Roman" w:eastAsia="Times New Roman" w:hAnsi="Times New Roman"/>
        <w:sz w:val="24"/>
        <w:szCs w:val="24"/>
      </w:rPr>
    </w:lvl>
    <w:lvl w:ilvl="1">
      <w:start w:val="0"/>
      <w:numFmt w:val="bullet"/>
      <w:lvlText w:val="•"/>
      <w:lvlJc w:val="left"/>
      <w:pPr>
        <w:ind w:left="1316" w:hanging="296"/>
      </w:pPr>
      <w:rPr/>
    </w:lvl>
    <w:lvl w:ilvl="2">
      <w:start w:val="0"/>
      <w:numFmt w:val="bullet"/>
      <w:lvlText w:val="•"/>
      <w:lvlJc w:val="left"/>
      <w:pPr>
        <w:ind w:left="2232" w:hanging="296"/>
      </w:pPr>
      <w:rPr/>
    </w:lvl>
    <w:lvl w:ilvl="3">
      <w:start w:val="0"/>
      <w:numFmt w:val="bullet"/>
      <w:lvlText w:val="•"/>
      <w:lvlJc w:val="left"/>
      <w:pPr>
        <w:ind w:left="3148" w:hanging="296"/>
      </w:pPr>
      <w:rPr/>
    </w:lvl>
    <w:lvl w:ilvl="4">
      <w:start w:val="0"/>
      <w:numFmt w:val="bullet"/>
      <w:lvlText w:val="•"/>
      <w:lvlJc w:val="left"/>
      <w:pPr>
        <w:ind w:left="4064" w:hanging="296.00000000000045"/>
      </w:pPr>
      <w:rPr/>
    </w:lvl>
    <w:lvl w:ilvl="5">
      <w:start w:val="0"/>
      <w:numFmt w:val="bullet"/>
      <w:lvlText w:val="•"/>
      <w:lvlJc w:val="left"/>
      <w:pPr>
        <w:ind w:left="4980" w:hanging="296"/>
      </w:pPr>
      <w:rPr/>
    </w:lvl>
    <w:lvl w:ilvl="6">
      <w:start w:val="0"/>
      <w:numFmt w:val="bullet"/>
      <w:lvlText w:val="•"/>
      <w:lvlJc w:val="left"/>
      <w:pPr>
        <w:ind w:left="5896" w:hanging="296"/>
      </w:pPr>
      <w:rPr/>
    </w:lvl>
    <w:lvl w:ilvl="7">
      <w:start w:val="0"/>
      <w:numFmt w:val="bullet"/>
      <w:lvlText w:val="•"/>
      <w:lvlJc w:val="left"/>
      <w:pPr>
        <w:ind w:left="6812" w:hanging="296"/>
      </w:pPr>
      <w:rPr/>
    </w:lvl>
    <w:lvl w:ilvl="8">
      <w:start w:val="0"/>
      <w:numFmt w:val="bullet"/>
      <w:lvlText w:val="•"/>
      <w:lvlJc w:val="left"/>
      <w:pPr>
        <w:ind w:left="7728" w:hanging="296.0000000000009"/>
      </w:pPr>
      <w:rPr/>
    </w:lvl>
  </w:abstractNum>
  <w:abstractNum w:abstractNumId="6">
    <w:lvl w:ilvl="0">
      <w:start w:val="1"/>
      <w:numFmt w:val="decimal"/>
      <w:lvlText w:val="(%1)"/>
      <w:lvlJc w:val="left"/>
      <w:pPr>
        <w:ind w:left="100" w:hanging="340"/>
      </w:pPr>
      <w:rPr>
        <w:rFonts w:ascii="Times New Roman" w:cs="Times New Roman" w:eastAsia="Times New Roman" w:hAnsi="Times New Roman"/>
        <w:sz w:val="24"/>
        <w:szCs w:val="24"/>
      </w:rPr>
    </w:lvl>
    <w:lvl w:ilvl="1">
      <w:start w:val="1"/>
      <w:numFmt w:val="lowerLetter"/>
      <w:lvlText w:val="(%2)"/>
      <w:lvlJc w:val="left"/>
      <w:pPr>
        <w:ind w:left="100" w:hanging="327"/>
      </w:pPr>
      <w:rPr/>
    </w:lvl>
    <w:lvl w:ilvl="2">
      <w:start w:val="0"/>
      <w:numFmt w:val="bullet"/>
      <w:lvlText w:val="•"/>
      <w:lvlJc w:val="left"/>
      <w:pPr>
        <w:ind w:left="2075" w:hanging="327"/>
      </w:pPr>
      <w:rPr/>
    </w:lvl>
    <w:lvl w:ilvl="3">
      <w:start w:val="0"/>
      <w:numFmt w:val="bullet"/>
      <w:lvlText w:val="•"/>
      <w:lvlJc w:val="left"/>
      <w:pPr>
        <w:ind w:left="3011" w:hanging="326.99999999999955"/>
      </w:pPr>
      <w:rPr/>
    </w:lvl>
    <w:lvl w:ilvl="4">
      <w:start w:val="0"/>
      <w:numFmt w:val="bullet"/>
      <w:lvlText w:val="•"/>
      <w:lvlJc w:val="left"/>
      <w:pPr>
        <w:ind w:left="3946" w:hanging="326.99999999999955"/>
      </w:pPr>
      <w:rPr/>
    </w:lvl>
    <w:lvl w:ilvl="5">
      <w:start w:val="0"/>
      <w:numFmt w:val="bullet"/>
      <w:lvlText w:val="•"/>
      <w:lvlJc w:val="left"/>
      <w:pPr>
        <w:ind w:left="4882" w:hanging="327"/>
      </w:pPr>
      <w:rPr/>
    </w:lvl>
    <w:lvl w:ilvl="6">
      <w:start w:val="0"/>
      <w:numFmt w:val="bullet"/>
      <w:lvlText w:val="•"/>
      <w:lvlJc w:val="left"/>
      <w:pPr>
        <w:ind w:left="5817" w:hanging="327"/>
      </w:pPr>
      <w:rPr/>
    </w:lvl>
    <w:lvl w:ilvl="7">
      <w:start w:val="0"/>
      <w:numFmt w:val="bullet"/>
      <w:lvlText w:val="•"/>
      <w:lvlJc w:val="left"/>
      <w:pPr>
        <w:ind w:left="6753" w:hanging="327.0000000000009"/>
      </w:pPr>
      <w:rPr/>
    </w:lvl>
    <w:lvl w:ilvl="8">
      <w:start w:val="0"/>
      <w:numFmt w:val="bullet"/>
      <w:lvlText w:val="•"/>
      <w:lvlJc w:val="left"/>
      <w:pPr>
        <w:ind w:left="7688" w:hanging="327.0000000000009"/>
      </w:pPr>
      <w:rPr/>
    </w:lvl>
  </w:abstractNum>
  <w:abstractNum w:abstractNumId="7">
    <w:lvl w:ilvl="0">
      <w:start w:val="1"/>
      <w:numFmt w:val="lowerRoman"/>
      <w:lvlText w:val="(%1)"/>
      <w:lvlJc w:val="left"/>
      <w:pPr>
        <w:ind w:left="100" w:hanging="283"/>
      </w:pPr>
      <w:rPr>
        <w:rFonts w:ascii="Times New Roman" w:cs="Times New Roman" w:eastAsia="Times New Roman" w:hAnsi="Times New Roman"/>
        <w:sz w:val="24"/>
        <w:szCs w:val="24"/>
      </w:rPr>
    </w:lvl>
    <w:lvl w:ilvl="1">
      <w:start w:val="0"/>
      <w:numFmt w:val="bullet"/>
      <w:lvlText w:val="•"/>
      <w:lvlJc w:val="left"/>
      <w:pPr>
        <w:ind w:left="1046" w:hanging="283"/>
      </w:pPr>
      <w:rPr/>
    </w:lvl>
    <w:lvl w:ilvl="2">
      <w:start w:val="0"/>
      <w:numFmt w:val="bullet"/>
      <w:lvlText w:val="•"/>
      <w:lvlJc w:val="left"/>
      <w:pPr>
        <w:ind w:left="1992" w:hanging="283.0000000000002"/>
      </w:pPr>
      <w:rPr/>
    </w:lvl>
    <w:lvl w:ilvl="3">
      <w:start w:val="0"/>
      <w:numFmt w:val="bullet"/>
      <w:lvlText w:val="•"/>
      <w:lvlJc w:val="left"/>
      <w:pPr>
        <w:ind w:left="2938" w:hanging="283"/>
      </w:pPr>
      <w:rPr/>
    </w:lvl>
    <w:lvl w:ilvl="4">
      <w:start w:val="0"/>
      <w:numFmt w:val="bullet"/>
      <w:lvlText w:val="•"/>
      <w:lvlJc w:val="left"/>
      <w:pPr>
        <w:ind w:left="3884" w:hanging="283.00000000000045"/>
      </w:pPr>
      <w:rPr/>
    </w:lvl>
    <w:lvl w:ilvl="5">
      <w:start w:val="0"/>
      <w:numFmt w:val="bullet"/>
      <w:lvlText w:val="•"/>
      <w:lvlJc w:val="left"/>
      <w:pPr>
        <w:ind w:left="4830" w:hanging="283"/>
      </w:pPr>
      <w:rPr/>
    </w:lvl>
    <w:lvl w:ilvl="6">
      <w:start w:val="0"/>
      <w:numFmt w:val="bullet"/>
      <w:lvlText w:val="•"/>
      <w:lvlJc w:val="left"/>
      <w:pPr>
        <w:ind w:left="5776" w:hanging="282.9999999999991"/>
      </w:pPr>
      <w:rPr/>
    </w:lvl>
    <w:lvl w:ilvl="7">
      <w:start w:val="0"/>
      <w:numFmt w:val="bullet"/>
      <w:lvlText w:val="•"/>
      <w:lvlJc w:val="left"/>
      <w:pPr>
        <w:ind w:left="6722" w:hanging="282.9999999999991"/>
      </w:pPr>
      <w:rPr/>
    </w:lvl>
    <w:lvl w:ilvl="8">
      <w:start w:val="0"/>
      <w:numFmt w:val="bullet"/>
      <w:lvlText w:val="•"/>
      <w:lvlJc w:val="left"/>
      <w:pPr>
        <w:ind w:left="7668" w:hanging="283"/>
      </w:pPr>
      <w:rPr/>
    </w:lvl>
  </w:abstractNum>
  <w:abstractNum w:abstractNumId="8">
    <w:lvl w:ilvl="0">
      <w:start w:val="1"/>
      <w:numFmt w:val="upperLetter"/>
      <w:lvlText w:val="(%1)"/>
      <w:lvlJc w:val="left"/>
      <w:pPr>
        <w:ind w:left="488" w:hanging="389"/>
      </w:pPr>
      <w:rPr>
        <w:rFonts w:ascii="Times New Roman" w:cs="Times New Roman" w:eastAsia="Times New Roman" w:hAnsi="Times New Roman"/>
        <w:sz w:val="24"/>
        <w:szCs w:val="24"/>
      </w:rPr>
    </w:lvl>
    <w:lvl w:ilvl="1">
      <w:start w:val="0"/>
      <w:numFmt w:val="bullet"/>
      <w:lvlText w:val="•"/>
      <w:lvlJc w:val="left"/>
      <w:pPr>
        <w:ind w:left="1388" w:hanging="389"/>
      </w:pPr>
      <w:rPr/>
    </w:lvl>
    <w:lvl w:ilvl="2">
      <w:start w:val="0"/>
      <w:numFmt w:val="bullet"/>
      <w:lvlText w:val="•"/>
      <w:lvlJc w:val="left"/>
      <w:pPr>
        <w:ind w:left="2296" w:hanging="389"/>
      </w:pPr>
      <w:rPr/>
    </w:lvl>
    <w:lvl w:ilvl="3">
      <w:start w:val="0"/>
      <w:numFmt w:val="bullet"/>
      <w:lvlText w:val="•"/>
      <w:lvlJc w:val="left"/>
      <w:pPr>
        <w:ind w:left="3204" w:hanging="389"/>
      </w:pPr>
      <w:rPr/>
    </w:lvl>
    <w:lvl w:ilvl="4">
      <w:start w:val="0"/>
      <w:numFmt w:val="bullet"/>
      <w:lvlText w:val="•"/>
      <w:lvlJc w:val="left"/>
      <w:pPr>
        <w:ind w:left="4112" w:hanging="389"/>
      </w:pPr>
      <w:rPr/>
    </w:lvl>
    <w:lvl w:ilvl="5">
      <w:start w:val="0"/>
      <w:numFmt w:val="bullet"/>
      <w:lvlText w:val="•"/>
      <w:lvlJc w:val="left"/>
      <w:pPr>
        <w:ind w:left="5020" w:hanging="389"/>
      </w:pPr>
      <w:rPr/>
    </w:lvl>
    <w:lvl w:ilvl="6">
      <w:start w:val="0"/>
      <w:numFmt w:val="bullet"/>
      <w:lvlText w:val="•"/>
      <w:lvlJc w:val="left"/>
      <w:pPr>
        <w:ind w:left="5928" w:hanging="389"/>
      </w:pPr>
      <w:rPr/>
    </w:lvl>
    <w:lvl w:ilvl="7">
      <w:start w:val="0"/>
      <w:numFmt w:val="bullet"/>
      <w:lvlText w:val="•"/>
      <w:lvlJc w:val="left"/>
      <w:pPr>
        <w:ind w:left="6836" w:hanging="389"/>
      </w:pPr>
      <w:rPr/>
    </w:lvl>
    <w:lvl w:ilvl="8">
      <w:start w:val="0"/>
      <w:numFmt w:val="bullet"/>
      <w:lvlText w:val="•"/>
      <w:lvlJc w:val="left"/>
      <w:pPr>
        <w:ind w:left="7744" w:hanging="389"/>
      </w:pPr>
      <w:rPr/>
    </w:lvl>
  </w:abstractNum>
  <w:abstractNum w:abstractNumId="9">
    <w:lvl w:ilvl="0">
      <w:start w:val="1"/>
      <w:numFmt w:val="upperLetter"/>
      <w:lvlText w:val="(%1)"/>
      <w:lvlJc w:val="left"/>
      <w:pPr>
        <w:ind w:left="799" w:hanging="359.99999999999994"/>
      </w:pPr>
      <w:rPr/>
    </w:lvl>
    <w:lvl w:ilvl="1">
      <w:start w:val="1"/>
      <w:numFmt w:val="lowerLetter"/>
      <w:lvlText w:val="%2."/>
      <w:lvlJc w:val="left"/>
      <w:pPr>
        <w:ind w:left="1519" w:hanging="360"/>
      </w:pPr>
      <w:rPr/>
    </w:lvl>
    <w:lvl w:ilvl="2">
      <w:start w:val="1"/>
      <w:numFmt w:val="lowerRoman"/>
      <w:lvlText w:val="%3."/>
      <w:lvlJc w:val="right"/>
      <w:pPr>
        <w:ind w:left="2239" w:hanging="180"/>
      </w:pPr>
      <w:rPr/>
    </w:lvl>
    <w:lvl w:ilvl="3">
      <w:start w:val="1"/>
      <w:numFmt w:val="decimal"/>
      <w:lvlText w:val="%4."/>
      <w:lvlJc w:val="left"/>
      <w:pPr>
        <w:ind w:left="2959" w:hanging="360"/>
      </w:pPr>
      <w:rPr/>
    </w:lvl>
    <w:lvl w:ilvl="4">
      <w:start w:val="1"/>
      <w:numFmt w:val="lowerLetter"/>
      <w:lvlText w:val="%5."/>
      <w:lvlJc w:val="left"/>
      <w:pPr>
        <w:ind w:left="3679" w:hanging="360"/>
      </w:pPr>
      <w:rPr/>
    </w:lvl>
    <w:lvl w:ilvl="5">
      <w:start w:val="1"/>
      <w:numFmt w:val="lowerRoman"/>
      <w:lvlText w:val="%6."/>
      <w:lvlJc w:val="right"/>
      <w:pPr>
        <w:ind w:left="4399" w:hanging="180"/>
      </w:pPr>
      <w:rPr/>
    </w:lvl>
    <w:lvl w:ilvl="6">
      <w:start w:val="1"/>
      <w:numFmt w:val="decimal"/>
      <w:lvlText w:val="%7."/>
      <w:lvlJc w:val="left"/>
      <w:pPr>
        <w:ind w:left="5119" w:hanging="360"/>
      </w:pPr>
      <w:rPr/>
    </w:lvl>
    <w:lvl w:ilvl="7">
      <w:start w:val="1"/>
      <w:numFmt w:val="lowerLetter"/>
      <w:lvlText w:val="%8."/>
      <w:lvlJc w:val="left"/>
      <w:pPr>
        <w:ind w:left="5839" w:hanging="360"/>
      </w:pPr>
      <w:rPr/>
    </w:lvl>
    <w:lvl w:ilvl="8">
      <w:start w:val="1"/>
      <w:numFmt w:val="lowerRoman"/>
      <w:lvlText w:val="%9."/>
      <w:lvlJc w:val="right"/>
      <w:pPr>
        <w:ind w:left="6559" w:hanging="180"/>
      </w:pPr>
      <w:rPr/>
    </w:lvl>
  </w:abstractNum>
  <w:abstractNum w:abstractNumId="10">
    <w:lvl w:ilvl="0">
      <w:start w:val="1"/>
      <w:numFmt w:val="upperLetter"/>
      <w:lvlText w:val="(%1)"/>
      <w:lvlJc w:val="left"/>
      <w:pPr>
        <w:ind w:left="760" w:hanging="360"/>
      </w:pPr>
      <w:rPr/>
    </w:lvl>
    <w:lvl w:ilvl="1">
      <w:start w:val="1"/>
      <w:numFmt w:val="lowerLetter"/>
      <w:lvlText w:val="%2."/>
      <w:lvlJc w:val="left"/>
      <w:pPr>
        <w:ind w:left="1480" w:hanging="360"/>
      </w:pPr>
      <w:rPr/>
    </w:lvl>
    <w:lvl w:ilvl="2">
      <w:start w:val="1"/>
      <w:numFmt w:val="lowerRoman"/>
      <w:lvlText w:val="%3."/>
      <w:lvlJc w:val="right"/>
      <w:pPr>
        <w:ind w:left="2200" w:hanging="180"/>
      </w:pPr>
      <w:rPr/>
    </w:lvl>
    <w:lvl w:ilvl="3">
      <w:start w:val="1"/>
      <w:numFmt w:val="decimal"/>
      <w:lvlText w:val="%4."/>
      <w:lvlJc w:val="left"/>
      <w:pPr>
        <w:ind w:left="2920" w:hanging="360"/>
      </w:pPr>
      <w:rPr/>
    </w:lvl>
    <w:lvl w:ilvl="4">
      <w:start w:val="1"/>
      <w:numFmt w:val="lowerLetter"/>
      <w:lvlText w:val="%5."/>
      <w:lvlJc w:val="left"/>
      <w:pPr>
        <w:ind w:left="3640" w:hanging="360"/>
      </w:pPr>
      <w:rPr/>
    </w:lvl>
    <w:lvl w:ilvl="5">
      <w:start w:val="1"/>
      <w:numFmt w:val="lowerRoman"/>
      <w:lvlText w:val="%6."/>
      <w:lvlJc w:val="right"/>
      <w:pPr>
        <w:ind w:left="4360" w:hanging="180"/>
      </w:pPr>
      <w:rPr/>
    </w:lvl>
    <w:lvl w:ilvl="6">
      <w:start w:val="1"/>
      <w:numFmt w:val="decimal"/>
      <w:lvlText w:val="%7."/>
      <w:lvlJc w:val="left"/>
      <w:pPr>
        <w:ind w:left="5080" w:hanging="360"/>
      </w:pPr>
      <w:rPr/>
    </w:lvl>
    <w:lvl w:ilvl="7">
      <w:start w:val="1"/>
      <w:numFmt w:val="lowerLetter"/>
      <w:lvlText w:val="%8."/>
      <w:lvlJc w:val="left"/>
      <w:pPr>
        <w:ind w:left="5800" w:hanging="360"/>
      </w:pPr>
      <w:rPr/>
    </w:lvl>
    <w:lvl w:ilvl="8">
      <w:start w:val="1"/>
      <w:numFmt w:val="lowerRoman"/>
      <w:lvlText w:val="%9."/>
      <w:lvlJc w:val="right"/>
      <w:pPr>
        <w:ind w:left="6520" w:hanging="180"/>
      </w:pPr>
      <w:rPr/>
    </w:lvl>
  </w:abstractNum>
  <w:abstractNum w:abstractNumId="11">
    <w:lvl w:ilvl="0">
      <w:start w:val="1"/>
      <w:numFmt w:val="lowerLetter"/>
      <w:lvlText w:val="%1."/>
      <w:lvlJc w:val="left"/>
      <w:pPr>
        <w:ind w:left="820" w:hanging="360"/>
      </w:pPr>
      <w:rPr/>
    </w:lvl>
    <w:lvl w:ilvl="1">
      <w:start w:val="0"/>
      <w:numFmt w:val="bullet"/>
      <w:lvlText w:val="•"/>
      <w:lvlJc w:val="left"/>
      <w:pPr>
        <w:ind w:left="1694" w:hanging="360"/>
      </w:pPr>
      <w:rPr/>
    </w:lvl>
    <w:lvl w:ilvl="2">
      <w:start w:val="0"/>
      <w:numFmt w:val="bullet"/>
      <w:lvlText w:val="•"/>
      <w:lvlJc w:val="left"/>
      <w:pPr>
        <w:ind w:left="2568" w:hanging="360"/>
      </w:pPr>
      <w:rPr/>
    </w:lvl>
    <w:lvl w:ilvl="3">
      <w:start w:val="0"/>
      <w:numFmt w:val="bullet"/>
      <w:lvlText w:val="•"/>
      <w:lvlJc w:val="left"/>
      <w:pPr>
        <w:ind w:left="3442" w:hanging="360"/>
      </w:pPr>
      <w:rPr/>
    </w:lvl>
    <w:lvl w:ilvl="4">
      <w:start w:val="0"/>
      <w:numFmt w:val="bullet"/>
      <w:lvlText w:val="•"/>
      <w:lvlJc w:val="left"/>
      <w:pPr>
        <w:ind w:left="4316" w:hanging="360"/>
      </w:pPr>
      <w:rPr/>
    </w:lvl>
    <w:lvl w:ilvl="5">
      <w:start w:val="0"/>
      <w:numFmt w:val="bullet"/>
      <w:lvlText w:val="•"/>
      <w:lvlJc w:val="left"/>
      <w:pPr>
        <w:ind w:left="5190" w:hanging="360"/>
      </w:pPr>
      <w:rPr/>
    </w:lvl>
    <w:lvl w:ilvl="6">
      <w:start w:val="0"/>
      <w:numFmt w:val="bullet"/>
      <w:lvlText w:val="•"/>
      <w:lvlJc w:val="left"/>
      <w:pPr>
        <w:ind w:left="6064" w:hanging="360"/>
      </w:pPr>
      <w:rPr/>
    </w:lvl>
    <w:lvl w:ilvl="7">
      <w:start w:val="0"/>
      <w:numFmt w:val="bullet"/>
      <w:lvlText w:val="•"/>
      <w:lvlJc w:val="left"/>
      <w:pPr>
        <w:ind w:left="6938" w:hanging="360"/>
      </w:pPr>
      <w:rPr/>
    </w:lvl>
    <w:lvl w:ilvl="8">
      <w:start w:val="0"/>
      <w:numFmt w:val="bullet"/>
      <w:lvlText w:val="•"/>
      <w:lvlJc w:val="left"/>
      <w:pPr>
        <w:ind w:left="7812" w:hanging="360"/>
      </w:pPr>
      <w:rPr/>
    </w:lvl>
  </w:abstractNum>
  <w:abstractNum w:abstractNumId="12">
    <w:lvl w:ilvl="0">
      <w:start w:val="1"/>
      <w:numFmt w:val="upperRoman"/>
      <w:lvlText w:val="%1."/>
      <w:lvlJc w:val="left"/>
      <w:pPr>
        <w:ind w:left="309" w:hanging="210"/>
      </w:pPr>
      <w:rPr>
        <w:rFonts w:ascii="Times New Roman" w:cs="Times New Roman" w:eastAsia="Times New Roman" w:hAnsi="Times New Roman"/>
        <w:b w:val="1"/>
        <w:sz w:val="24"/>
        <w:szCs w:val="24"/>
      </w:rPr>
    </w:lvl>
    <w:lvl w:ilvl="1">
      <w:start w:val="1"/>
      <w:numFmt w:val="upperLetter"/>
      <w:lvlText w:val="%2."/>
      <w:lvlJc w:val="left"/>
      <w:pPr>
        <w:ind w:left="820" w:hanging="360"/>
      </w:pPr>
      <w:rPr>
        <w:rFonts w:ascii="Times New Roman" w:cs="Times New Roman" w:eastAsia="Times New Roman" w:hAnsi="Times New Roman"/>
        <w:sz w:val="24"/>
        <w:szCs w:val="24"/>
      </w:rPr>
    </w:lvl>
    <w:lvl w:ilvl="2">
      <w:start w:val="0"/>
      <w:numFmt w:val="bullet"/>
      <w:lvlText w:val="•"/>
      <w:lvlJc w:val="left"/>
      <w:pPr>
        <w:ind w:left="1791" w:hanging="360"/>
      </w:pPr>
      <w:rPr/>
    </w:lvl>
    <w:lvl w:ilvl="3">
      <w:start w:val="0"/>
      <w:numFmt w:val="bullet"/>
      <w:lvlText w:val="•"/>
      <w:lvlJc w:val="left"/>
      <w:pPr>
        <w:ind w:left="2762" w:hanging="360"/>
      </w:pPr>
      <w:rPr/>
    </w:lvl>
    <w:lvl w:ilvl="4">
      <w:start w:val="0"/>
      <w:numFmt w:val="bullet"/>
      <w:lvlText w:val="•"/>
      <w:lvlJc w:val="left"/>
      <w:pPr>
        <w:ind w:left="3733" w:hanging="360"/>
      </w:pPr>
      <w:rPr/>
    </w:lvl>
    <w:lvl w:ilvl="5">
      <w:start w:val="0"/>
      <w:numFmt w:val="bullet"/>
      <w:lvlText w:val="•"/>
      <w:lvlJc w:val="left"/>
      <w:pPr>
        <w:ind w:left="4704" w:hanging="360"/>
      </w:pPr>
      <w:rPr/>
    </w:lvl>
    <w:lvl w:ilvl="6">
      <w:start w:val="0"/>
      <w:numFmt w:val="bullet"/>
      <w:lvlText w:val="•"/>
      <w:lvlJc w:val="left"/>
      <w:pPr>
        <w:ind w:left="5675" w:hanging="360"/>
      </w:pPr>
      <w:rPr/>
    </w:lvl>
    <w:lvl w:ilvl="7">
      <w:start w:val="0"/>
      <w:numFmt w:val="bullet"/>
      <w:lvlText w:val="•"/>
      <w:lvlJc w:val="left"/>
      <w:pPr>
        <w:ind w:left="6646" w:hanging="360"/>
      </w:pPr>
      <w:rPr/>
    </w:lvl>
    <w:lvl w:ilvl="8">
      <w:start w:val="0"/>
      <w:numFmt w:val="bullet"/>
      <w:lvlText w:val="•"/>
      <w:lvlJc w:val="left"/>
      <w:pPr>
        <w:ind w:left="7617" w:hanging="360"/>
      </w:pPr>
      <w:rPr/>
    </w:lvl>
  </w:abstractNum>
  <w:abstractNum w:abstractNumId="13">
    <w:lvl w:ilvl="0">
      <w:start w:val="4"/>
      <w:numFmt w:val="decimal"/>
      <w:lvlText w:val="(%1)"/>
      <w:lvlJc w:val="left"/>
      <w:pPr>
        <w:ind w:left="439" w:hanging="340"/>
      </w:pPr>
      <w:rPr>
        <w:rFonts w:ascii="Times New Roman" w:cs="Times New Roman" w:eastAsia="Times New Roman" w:hAnsi="Times New Roman"/>
        <w:b w:val="1"/>
        <w:color w:val="9a403e"/>
        <w:sz w:val="24"/>
        <w:szCs w:val="24"/>
      </w:rPr>
    </w:lvl>
    <w:lvl w:ilvl="1">
      <w:start w:val="1"/>
      <w:numFmt w:val="lowerLetter"/>
      <w:lvlText w:val="(%2)"/>
      <w:lvlJc w:val="left"/>
      <w:pPr>
        <w:ind w:left="400" w:hanging="300"/>
      </w:pPr>
      <w:rPr/>
    </w:lvl>
    <w:lvl w:ilvl="2">
      <w:start w:val="0"/>
      <w:numFmt w:val="bullet"/>
      <w:lvlText w:val="•"/>
      <w:lvlJc w:val="left"/>
      <w:pPr>
        <w:ind w:left="1453" w:hanging="300"/>
      </w:pPr>
      <w:rPr/>
    </w:lvl>
    <w:lvl w:ilvl="3">
      <w:start w:val="0"/>
      <w:numFmt w:val="bullet"/>
      <w:lvlText w:val="•"/>
      <w:lvlJc w:val="left"/>
      <w:pPr>
        <w:ind w:left="2466" w:hanging="300"/>
      </w:pPr>
      <w:rPr/>
    </w:lvl>
    <w:lvl w:ilvl="4">
      <w:start w:val="0"/>
      <w:numFmt w:val="bullet"/>
      <w:lvlText w:val="•"/>
      <w:lvlJc w:val="left"/>
      <w:pPr>
        <w:ind w:left="3480" w:hanging="300"/>
      </w:pPr>
      <w:rPr/>
    </w:lvl>
    <w:lvl w:ilvl="5">
      <w:start w:val="0"/>
      <w:numFmt w:val="bullet"/>
      <w:lvlText w:val="•"/>
      <w:lvlJc w:val="left"/>
      <w:pPr>
        <w:ind w:left="4493" w:hanging="300"/>
      </w:pPr>
      <w:rPr/>
    </w:lvl>
    <w:lvl w:ilvl="6">
      <w:start w:val="0"/>
      <w:numFmt w:val="bullet"/>
      <w:lvlText w:val="•"/>
      <w:lvlJc w:val="left"/>
      <w:pPr>
        <w:ind w:left="5506" w:hanging="300"/>
      </w:pPr>
      <w:rPr/>
    </w:lvl>
    <w:lvl w:ilvl="7">
      <w:start w:val="0"/>
      <w:numFmt w:val="bullet"/>
      <w:lvlText w:val="•"/>
      <w:lvlJc w:val="left"/>
      <w:pPr>
        <w:ind w:left="6520" w:hanging="300"/>
      </w:pPr>
      <w:rPr/>
    </w:lvl>
    <w:lvl w:ilvl="8">
      <w:start w:val="0"/>
      <w:numFmt w:val="bullet"/>
      <w:lvlText w:val="•"/>
      <w:lvlJc w:val="left"/>
      <w:pPr>
        <w:ind w:left="7533" w:hanging="3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widowControl w:val="0"/>
      <w:spacing w:after="0" w:line="240" w:lineRule="auto"/>
      <w:ind w:left="820"/>
    </w:pPr>
    <w:rPr>
      <w:rFonts w:ascii="Times New Roman" w:cs="Times New Roman" w:eastAsia="Times New Roman" w:hAnsi="Times New Roman"/>
      <w:b w:val="1"/>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link w:val="Heading1Char"/>
    <w:uiPriority w:val="9"/>
    <w:qFormat w:val="1"/>
    <w:rsid w:val="009965A0"/>
    <w:pPr>
      <w:widowControl w:val="0"/>
      <w:autoSpaceDE w:val="0"/>
      <w:autoSpaceDN w:val="0"/>
      <w:spacing w:after="0" w:line="240" w:lineRule="auto"/>
      <w:ind w:left="820"/>
      <w:outlineLvl w:val="0"/>
    </w:pPr>
    <w:rPr>
      <w:rFonts w:ascii="Times New Roman" w:cs="Times New Roman" w:eastAsia="Times New Roman" w:hAnsi="Times New Roman"/>
      <w:b w:val="1"/>
      <w:bCs w:val="1"/>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9965A0"/>
    <w:rPr>
      <w:rFonts w:ascii="Times New Roman" w:cs="Times New Roman" w:eastAsia="Times New Roman" w:hAnsi="Times New Roman"/>
      <w:b w:val="1"/>
      <w:bCs w:val="1"/>
      <w:sz w:val="24"/>
      <w:szCs w:val="24"/>
    </w:rPr>
  </w:style>
  <w:style w:type="paragraph" w:styleId="BodyText">
    <w:name w:val="Body Text"/>
    <w:basedOn w:val="Normal"/>
    <w:link w:val="BodyTextChar"/>
    <w:uiPriority w:val="1"/>
    <w:qFormat w:val="1"/>
    <w:rsid w:val="009965A0"/>
    <w:pPr>
      <w:widowControl w:val="0"/>
      <w:autoSpaceDE w:val="0"/>
      <w:autoSpaceDN w:val="0"/>
      <w:spacing w:after="0" w:line="240" w:lineRule="auto"/>
    </w:pPr>
    <w:rPr>
      <w:rFonts w:ascii="Times New Roman" w:cs="Times New Roman" w:eastAsia="Times New Roman" w:hAnsi="Times New Roman"/>
      <w:sz w:val="24"/>
      <w:szCs w:val="24"/>
    </w:rPr>
  </w:style>
  <w:style w:type="character" w:styleId="BodyTextChar" w:customStyle="1">
    <w:name w:val="Body Text Char"/>
    <w:basedOn w:val="DefaultParagraphFont"/>
    <w:link w:val="BodyText"/>
    <w:uiPriority w:val="1"/>
    <w:rsid w:val="009965A0"/>
    <w:rPr>
      <w:rFonts w:ascii="Times New Roman" w:cs="Times New Roman" w:eastAsia="Times New Roman" w:hAnsi="Times New Roman"/>
      <w:sz w:val="24"/>
      <w:szCs w:val="24"/>
    </w:rPr>
  </w:style>
  <w:style w:type="paragraph" w:styleId="ListParagraph">
    <w:name w:val="List Paragraph"/>
    <w:basedOn w:val="Normal"/>
    <w:uiPriority w:val="1"/>
    <w:qFormat w:val="1"/>
    <w:rsid w:val="009965A0"/>
    <w:pPr>
      <w:widowControl w:val="0"/>
      <w:autoSpaceDE w:val="0"/>
      <w:autoSpaceDN w:val="0"/>
      <w:spacing w:after="0" w:line="240" w:lineRule="auto"/>
      <w:ind w:left="100"/>
    </w:pPr>
    <w:rPr>
      <w:rFonts w:ascii="Times New Roman" w:cs="Times New Roman" w:eastAsia="Times New Roman" w:hAnsi="Times New Roman"/>
    </w:rPr>
  </w:style>
  <w:style w:type="paragraph" w:styleId="Header">
    <w:name w:val="header"/>
    <w:basedOn w:val="Normal"/>
    <w:link w:val="HeaderChar"/>
    <w:uiPriority w:val="99"/>
    <w:unhideWhenUsed w:val="1"/>
    <w:rsid w:val="005848D3"/>
    <w:pPr>
      <w:tabs>
        <w:tab w:val="center" w:pos="4680"/>
        <w:tab w:val="right" w:pos="9360"/>
      </w:tabs>
      <w:spacing w:after="0" w:line="240" w:lineRule="auto"/>
    </w:pPr>
  </w:style>
  <w:style w:type="character" w:styleId="HeaderChar" w:customStyle="1">
    <w:name w:val="Header Char"/>
    <w:basedOn w:val="DefaultParagraphFont"/>
    <w:link w:val="Header"/>
    <w:uiPriority w:val="99"/>
    <w:rsid w:val="005848D3"/>
  </w:style>
  <w:style w:type="paragraph" w:styleId="Footer">
    <w:name w:val="footer"/>
    <w:basedOn w:val="Normal"/>
    <w:link w:val="FooterChar"/>
    <w:uiPriority w:val="99"/>
    <w:unhideWhenUsed w:val="1"/>
    <w:rsid w:val="005848D3"/>
    <w:pPr>
      <w:tabs>
        <w:tab w:val="center" w:pos="4680"/>
        <w:tab w:val="right" w:pos="9360"/>
      </w:tabs>
      <w:spacing w:after="0" w:line="240" w:lineRule="auto"/>
    </w:pPr>
  </w:style>
  <w:style w:type="character" w:styleId="FooterChar" w:customStyle="1">
    <w:name w:val="Footer Char"/>
    <w:basedOn w:val="DefaultParagraphFont"/>
    <w:link w:val="Footer"/>
    <w:uiPriority w:val="99"/>
    <w:rsid w:val="005848D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3" Type="http://schemas.openxmlformats.org/officeDocument/2006/relationships/footer" Target="footer1.xml"/><Relationship Id="rId8" Type="http://schemas.openxmlformats.org/officeDocument/2006/relationships/header" Target="header1.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1.png"/><Relationship Id="rId17" Type="http://schemas.openxmlformats.org/officeDocument/2006/relationships/customXml" Target="../customXML/item4.xml"/><Relationship Id="rId2" Type="http://schemas.openxmlformats.org/officeDocument/2006/relationships/settings" Target="settings.xml"/><Relationship Id="rId16" Type="http://schemas.openxmlformats.org/officeDocument/2006/relationships/customXml" Target="../customXML/item3.xml"/><Relationship Id="rId11" Type="http://schemas.openxmlformats.org/officeDocument/2006/relationships/footer" Target="footer3.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header" Target="header3.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mPflyCX5+QBU0mIFPJSKmjnCXA==">CgMxLjAyCGguZ2pkZ3hzMgloLjMwajB6bGwyCWguMWZvYjl0ZTIJaC4zem55c2g3MgloLjJldDkycDAyCGgudHlqY3d0MgloLjNkeTZ2a20yCWguMXQzaDVzZjIJaC40ZDM0b2c4MgloLjJzOGV5bzEyCWguMTdkcDh2dTIJaC4zcmRjcmpuOAByITFwZFo1SEdNYkd3QlNTY21XUVVLUUFfXzBEalppZFRFeg==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D20178CB431FBB44BA390DFB7A67DCC0" ma:contentTypeVersion="14" ma:contentTypeDescription="Create a new document." ma:contentTypeScope="" ma:versionID="c11f5c5ba6956ebcf616b0fdc6738893">
  <xsd:schema xmlns:xsd="http://www.w3.org/2001/XMLSchema" xmlns:xs="http://www.w3.org/2001/XMLSchema" xmlns:p="http://schemas.microsoft.com/office/2006/metadata/properties" xmlns:ns2="6076d197-b432-4a89-8b9d-b97676e775aa" xmlns:ns3="3f71e46e-dbdb-4936-a808-49fb891fc3e2" targetNamespace="http://schemas.microsoft.com/office/2006/metadata/properties" ma:root="true" ma:fieldsID="252fd8705f7ade0badd72347caaa9115" ns2:_="" ns3:_="">
    <xsd:import namespace="6076d197-b432-4a89-8b9d-b97676e775aa"/>
    <xsd:import namespace="3f71e46e-dbdb-4936-a808-49fb891fc3e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76d197-b432-4a89-8b9d-b97676e775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bc13bb2-4050-4808-9050-3ebd68b2d7b0"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71e46e-dbdb-4936-a808-49fb891fc3e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eed719a-6075-4462-92d1-db6947591cf3}" ma:internalName="TaxCatchAll" ma:showField="CatchAllData" ma:web="3f71e46e-dbdb-4936-a808-49fb891fc3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f71e46e-dbdb-4936-a808-49fb891fc3e2" xsi:nil="true"/>
    <lcf76f155ced4ddcb4097134ff3c332f xmlns="6076d197-b432-4a89-8b9d-b97676e775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6C8B996-D36F-414E-BAB1-B6A8385F3A49}"/>
</file>

<file path=customXML/itemProps3.xml><?xml version="1.0" encoding="utf-8"?>
<ds:datastoreItem xmlns:ds="http://schemas.openxmlformats.org/officeDocument/2006/customXml" ds:itemID="{65345004-E416-44B8-8AF4-761FEB4D27B8}"/>
</file>

<file path=customXML/itemProps4.xml><?xml version="1.0" encoding="utf-8"?>
<ds:datastoreItem xmlns:ds="http://schemas.openxmlformats.org/officeDocument/2006/customXml" ds:itemID="{9549C85C-C218-46BB-A5F5-D5B72BF7FF54}"/>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Doug Hancock</dc:creator>
  <dcterms:created xsi:type="dcterms:W3CDTF">2024-05-09T14:07:00Z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0x010100D20178CB431FBB44BA390DFB7A67DCC0</vt:lpwstr>
  </property>
</Properties>
</file>